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29" w:rsidRPr="00F71395" w:rsidRDefault="00131E21" w:rsidP="00FD5A9F">
      <w:pPr>
        <w:jc w:val="center"/>
        <w:rPr>
          <w:b/>
        </w:rPr>
      </w:pPr>
      <w:r w:rsidRPr="00F71395">
        <w:rPr>
          <w:b/>
        </w:rPr>
        <w:t>Контрольная работа №1 «Расчет разветвленных электрических цепей»</w:t>
      </w:r>
    </w:p>
    <w:p w:rsidR="00F450E9" w:rsidRDefault="00F450E9"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Построить схему в 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Visio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, рассчитать в 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MathCAD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(метод подбора, метод линейных преобразований, матричный метод), 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Matlab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(только матричный метод), </w:t>
      </w:r>
      <w:proofErr w:type="spellStart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>Multisim</w:t>
      </w:r>
      <w:proofErr w:type="spellEnd"/>
      <w:r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(моделирование).</w:t>
      </w:r>
      <w:r w:rsidR="008B7BB9">
        <w:rPr>
          <w:rFonts w:ascii="Verdana" w:hAnsi="Verdana"/>
          <w:color w:val="000000"/>
          <w:spacing w:val="4"/>
          <w:sz w:val="18"/>
          <w:szCs w:val="18"/>
          <w:shd w:val="clear" w:color="auto" w:fill="FFFFFF"/>
        </w:rPr>
        <w:t xml:space="preserve">  Все три части сдаются за один раз.</w:t>
      </w:r>
    </w:p>
    <w:p w:rsidR="00131E21" w:rsidRPr="008B7BB9" w:rsidRDefault="00131E21">
      <w:pPr>
        <w:rPr>
          <w:i/>
        </w:rPr>
      </w:pPr>
      <w:r w:rsidRPr="008B7BB9">
        <w:rPr>
          <w:i/>
        </w:rPr>
        <w:t>Решить методом контурных токов</w:t>
      </w:r>
    </w:p>
    <w:p w:rsidR="00131E21" w:rsidRDefault="00131E21">
      <w:r>
        <w:t>Для электрической цепи постоянного тока см. рис.</w:t>
      </w:r>
      <w:bookmarkStart w:id="0" w:name="_GoBack"/>
      <w:bookmarkEnd w:id="0"/>
      <w:r>
        <w:t xml:space="preserve"> определить токи I</w:t>
      </w:r>
      <w:r w:rsidRPr="00FD5A9F">
        <w:rPr>
          <w:vertAlign w:val="subscript"/>
        </w:rPr>
        <w:t>1</w:t>
      </w:r>
      <w:r>
        <w:t xml:space="preserve"> – I</w:t>
      </w:r>
      <w:r w:rsidRPr="00FD5A9F">
        <w:rPr>
          <w:vertAlign w:val="subscript"/>
        </w:rPr>
        <w:t>9</w:t>
      </w:r>
      <w:r>
        <w:t xml:space="preserve"> в ветвях резисторов R</w:t>
      </w:r>
      <w:r w:rsidRPr="00FD5A9F">
        <w:rPr>
          <w:vertAlign w:val="subscript"/>
        </w:rPr>
        <w:t>1</w:t>
      </w:r>
      <w:r>
        <w:t>—R</w:t>
      </w:r>
      <w:r w:rsidRPr="00FD5A9F">
        <w:rPr>
          <w:vertAlign w:val="subscript"/>
        </w:rPr>
        <w:t>9</w:t>
      </w:r>
      <w:r>
        <w:t>, режимы работы источников питания, составить баланс мощностей. ЭДС и напряжения источников, сопротивления резисторов и положение выключателей</w:t>
      </w:r>
      <w:r w:rsidR="007B672F">
        <w:t xml:space="preserve"> </w:t>
      </w:r>
      <w:r w:rsidR="007B672F">
        <w:t>приведены в табл</w:t>
      </w:r>
      <w:r w:rsidR="007B672F">
        <w:t>ице</w:t>
      </w:r>
      <w:r>
        <w:t>. Внутренним сопротивлением источников пренебречь.</w:t>
      </w:r>
    </w:p>
    <w:p w:rsidR="00131E21" w:rsidRDefault="00131E21">
      <w:r>
        <w:rPr>
          <w:noProof/>
        </w:rPr>
        <w:drawing>
          <wp:inline distT="0" distB="0" distL="0" distR="0" wp14:anchorId="70E2351E" wp14:editId="7541E490">
            <wp:extent cx="5380439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979" cy="27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51"/>
        <w:gridCol w:w="475"/>
        <w:gridCol w:w="475"/>
        <w:gridCol w:w="491"/>
        <w:gridCol w:w="491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1476"/>
      </w:tblGrid>
      <w:tr w:rsidR="008B7BB9" w:rsidRPr="00131E21" w:rsidTr="008B7BB9">
        <w:trPr>
          <w:trHeight w:val="321"/>
        </w:trPr>
        <w:tc>
          <w:tcPr>
            <w:tcW w:w="551" w:type="dxa"/>
          </w:tcPr>
          <w:p w:rsidR="008B7BB9" w:rsidRPr="00131E21" w:rsidRDefault="008B7BB9">
            <w:pPr>
              <w:rPr>
                <w:sz w:val="24"/>
              </w:rPr>
            </w:pPr>
            <w:r w:rsidRPr="00131E21">
              <w:rPr>
                <w:sz w:val="24"/>
              </w:rPr>
              <w:t>Е</w:t>
            </w:r>
            <w:r w:rsidRPr="00131E21">
              <w:rPr>
                <w:sz w:val="24"/>
                <w:vertAlign w:val="subscript"/>
              </w:rPr>
              <w:t>1</w:t>
            </w:r>
            <w:r w:rsidRPr="00131E21">
              <w:rPr>
                <w:sz w:val="24"/>
              </w:rPr>
              <w:t>, В</w:t>
            </w:r>
          </w:p>
        </w:tc>
        <w:tc>
          <w:tcPr>
            <w:tcW w:w="475" w:type="dxa"/>
          </w:tcPr>
          <w:p w:rsidR="008B7BB9" w:rsidRPr="00131E21" w:rsidRDefault="008B7BB9">
            <w:pPr>
              <w:rPr>
                <w:sz w:val="24"/>
              </w:rPr>
            </w:pPr>
            <w:r w:rsidRPr="00131E21">
              <w:rPr>
                <w:sz w:val="24"/>
              </w:rPr>
              <w:t>Е</w:t>
            </w:r>
            <w:r w:rsidRPr="00131E21">
              <w:rPr>
                <w:sz w:val="24"/>
                <w:vertAlign w:val="subscript"/>
              </w:rPr>
              <w:t>2</w:t>
            </w:r>
            <w:r w:rsidRPr="00131E21">
              <w:rPr>
                <w:sz w:val="24"/>
              </w:rPr>
              <w:t>, В</w:t>
            </w:r>
          </w:p>
        </w:tc>
        <w:tc>
          <w:tcPr>
            <w:tcW w:w="475" w:type="dxa"/>
          </w:tcPr>
          <w:p w:rsidR="008B7BB9" w:rsidRPr="00131E21" w:rsidRDefault="008B7BB9">
            <w:pPr>
              <w:rPr>
                <w:sz w:val="24"/>
              </w:rPr>
            </w:pPr>
            <w:r w:rsidRPr="00131E21">
              <w:rPr>
                <w:sz w:val="24"/>
              </w:rPr>
              <w:t>Е</w:t>
            </w:r>
            <w:r w:rsidRPr="00131E21">
              <w:rPr>
                <w:sz w:val="24"/>
                <w:vertAlign w:val="subscript"/>
              </w:rPr>
              <w:t>4</w:t>
            </w:r>
            <w:r w:rsidRPr="00131E21">
              <w:rPr>
                <w:sz w:val="24"/>
              </w:rPr>
              <w:t>, В</w:t>
            </w:r>
          </w:p>
        </w:tc>
        <w:tc>
          <w:tcPr>
            <w:tcW w:w="491" w:type="dxa"/>
          </w:tcPr>
          <w:p w:rsidR="008B7BB9" w:rsidRDefault="008B7B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  <w:lang w:val="en-US"/>
              </w:rPr>
              <w:t xml:space="preserve">5, </w:t>
            </w:r>
          </w:p>
          <w:p w:rsidR="008B7BB9" w:rsidRPr="00131E21" w:rsidRDefault="008B7B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491" w:type="dxa"/>
          </w:tcPr>
          <w:p w:rsidR="008B7BB9" w:rsidRDefault="008B7BB9" w:rsidP="00131E2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  <w:lang w:val="en-US"/>
              </w:rPr>
              <w:t xml:space="preserve">6, </w:t>
            </w:r>
          </w:p>
          <w:p w:rsidR="008B7BB9" w:rsidRPr="00131E21" w:rsidRDefault="008B7BB9" w:rsidP="00131E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38" w:type="dxa"/>
          </w:tcPr>
          <w:p w:rsidR="008B7BB9" w:rsidRPr="00131E21" w:rsidRDefault="008B7B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1,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Pr="00131E21" w:rsidRDefault="008B7B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 xml:space="preserve">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Pr="00131E21" w:rsidRDefault="008B7B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R’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 xml:space="preserve">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Pr="00131E21" w:rsidRDefault="008B7B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3,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Default="008B7B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4,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Default="008B7B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5,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Default="008B7B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6,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Default="008B7B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7,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Default="008B7B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8, </w:t>
            </w:r>
            <w:r>
              <w:rPr>
                <w:sz w:val="24"/>
              </w:rPr>
              <w:t>Ом</w:t>
            </w:r>
          </w:p>
        </w:tc>
        <w:tc>
          <w:tcPr>
            <w:tcW w:w="538" w:type="dxa"/>
          </w:tcPr>
          <w:p w:rsidR="008B7BB9" w:rsidRDefault="008B7B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9, </w:t>
            </w:r>
            <w:r>
              <w:rPr>
                <w:sz w:val="24"/>
              </w:rPr>
              <w:t>Ом</w:t>
            </w:r>
          </w:p>
        </w:tc>
        <w:tc>
          <w:tcPr>
            <w:tcW w:w="1476" w:type="dxa"/>
          </w:tcPr>
          <w:p w:rsidR="008B7BB9" w:rsidRPr="00F450E9" w:rsidRDefault="008B7BB9">
            <w:r w:rsidRPr="00F450E9">
              <w:t>Замкнутые выключатели</w:t>
            </w:r>
          </w:p>
        </w:tc>
      </w:tr>
      <w:tr w:rsidR="008B7BB9" w:rsidRPr="00131E21" w:rsidTr="008B7BB9">
        <w:trPr>
          <w:trHeight w:val="321"/>
        </w:trPr>
        <w:tc>
          <w:tcPr>
            <w:tcW w:w="551" w:type="dxa"/>
          </w:tcPr>
          <w:p w:rsidR="008B7BB9" w:rsidRPr="00F450E9" w:rsidRDefault="008B7BB9" w:rsidP="00F450E9">
            <w:pPr>
              <w:jc w:val="center"/>
            </w:pPr>
            <w:r w:rsidRPr="00F450E9">
              <w:t>110</w:t>
            </w:r>
          </w:p>
        </w:tc>
        <w:tc>
          <w:tcPr>
            <w:tcW w:w="475" w:type="dxa"/>
          </w:tcPr>
          <w:p w:rsidR="008B7BB9" w:rsidRPr="00F450E9" w:rsidRDefault="008B7BB9" w:rsidP="00F450E9">
            <w:pPr>
              <w:jc w:val="center"/>
            </w:pPr>
            <w:r>
              <w:t>-</w:t>
            </w:r>
          </w:p>
        </w:tc>
        <w:tc>
          <w:tcPr>
            <w:tcW w:w="475" w:type="dxa"/>
          </w:tcPr>
          <w:p w:rsidR="008B7BB9" w:rsidRPr="00F450E9" w:rsidRDefault="008B7BB9" w:rsidP="00F450E9">
            <w:pPr>
              <w:jc w:val="center"/>
            </w:pPr>
            <w:r>
              <w:t>80</w:t>
            </w:r>
          </w:p>
        </w:tc>
        <w:tc>
          <w:tcPr>
            <w:tcW w:w="491" w:type="dxa"/>
          </w:tcPr>
          <w:p w:rsidR="008B7BB9" w:rsidRPr="00F450E9" w:rsidRDefault="008B7BB9" w:rsidP="00F450E9">
            <w:pPr>
              <w:jc w:val="center"/>
            </w:pPr>
            <w:r>
              <w:t>-</w:t>
            </w:r>
          </w:p>
        </w:tc>
        <w:tc>
          <w:tcPr>
            <w:tcW w:w="491" w:type="dxa"/>
          </w:tcPr>
          <w:p w:rsidR="008B7BB9" w:rsidRPr="00F450E9" w:rsidRDefault="008B7BB9" w:rsidP="00F450E9">
            <w:pPr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0,2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2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0,2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0,8</w:t>
            </w:r>
          </w:p>
        </w:tc>
        <w:tc>
          <w:tcPr>
            <w:tcW w:w="538" w:type="dxa"/>
          </w:tcPr>
          <w:p w:rsidR="008B7BB9" w:rsidRPr="00F450E9" w:rsidRDefault="008B7BB9" w:rsidP="00F450E9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8B7BB9" w:rsidRPr="00F450E9" w:rsidRDefault="008B7BB9" w:rsidP="00F450E9">
            <w:pPr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  <w:r>
              <w:t>, В</w:t>
            </w:r>
            <w:r>
              <w:rPr>
                <w:strike/>
                <w:vertAlign w:val="subscript"/>
              </w:rPr>
              <w:t>4</w:t>
            </w:r>
          </w:p>
        </w:tc>
      </w:tr>
    </w:tbl>
    <w:p w:rsidR="00131E21" w:rsidRDefault="00131E21"/>
    <w:p w:rsidR="00F71395" w:rsidRDefault="00F71395"/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p w:rsidR="008B7BB9" w:rsidRDefault="008B7BB9">
      <w:pPr>
        <w:rPr>
          <w:b/>
        </w:rPr>
      </w:pPr>
    </w:p>
    <w:sectPr w:rsidR="008B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21"/>
    <w:rsid w:val="00131E21"/>
    <w:rsid w:val="001C0FA5"/>
    <w:rsid w:val="007B62B2"/>
    <w:rsid w:val="007B672F"/>
    <w:rsid w:val="008B7BB9"/>
    <w:rsid w:val="00E10C19"/>
    <w:rsid w:val="00F450E9"/>
    <w:rsid w:val="00F71395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015B"/>
  <w15:chartTrackingRefBased/>
  <w15:docId w15:val="{B60CE03A-2BB6-44A4-A273-1CF12FF7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2018-06-16T13:39:00Z</dcterms:created>
  <dcterms:modified xsi:type="dcterms:W3CDTF">2018-06-16T14:17:00Z</dcterms:modified>
</cp:coreProperties>
</file>