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Изложение текста и оформление курсовой работы выполняют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ГОСТ 7.32-2001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ГОСТ 2.105 и ГОСТ 6.38. Страницы текста отчета о НИР и включенные в отчет иллюстрации и таблицы должны соответствовать формату 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ГОСТ 9327.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должен быть выполнен любым печатным способом на пишущей машинке или с использованием компьютера и принтера на одной стороне листа белой бумаги формата 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полтора интервала. Цвет шрифта должен быть черным. </w:t>
      </w:r>
      <w:r>
        <w:rPr>
          <w:rFonts w:ascii="Times New Roman" w:hAnsi="Times New Roman"/>
          <w:sz w:val="28"/>
          <w:szCs w:val="28"/>
        </w:rPr>
        <w:t xml:space="preserve">Текст курсовой работы следует печатать шрифтом № 14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3D2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3D2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Arial</w:t>
      </w:r>
      <w:r>
        <w:rPr>
          <w:rFonts w:ascii="Times New Roman" w:hAnsi="Times New Roman"/>
          <w:sz w:val="28"/>
          <w:szCs w:val="28"/>
        </w:rPr>
        <w:t xml:space="preserve"> №12 через полтора интервала, соблюдая следующие размеры полей по ГОСТ 7.32-91: </w:t>
      </w:r>
    </w:p>
    <w:p w:rsidR="003D2F8A" w:rsidRDefault="003D2F8A" w:rsidP="003D2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отчета следует печатать, соблюдая следующие размеры полей: </w:t>
      </w:r>
      <w:proofErr w:type="gramStart"/>
      <w:r>
        <w:rPr>
          <w:rFonts w:ascii="Times New Roman" w:hAnsi="Times New Roman"/>
          <w:sz w:val="28"/>
          <w:szCs w:val="28"/>
        </w:rPr>
        <w:t>левое</w:t>
      </w:r>
      <w:proofErr w:type="gramEnd"/>
      <w:r>
        <w:rPr>
          <w:rFonts w:ascii="Times New Roman" w:hAnsi="Times New Roman"/>
          <w:sz w:val="28"/>
          <w:szCs w:val="28"/>
        </w:rPr>
        <w:t xml:space="preserve"> - не менее 30 мм, правое - не менее 10 мм, верхнее - не менее 15 мм, нижнее - не менее 20 мм.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 зависимости от способа выполнения отчета качество напечатанного текста и оформления иллюстраций, таблиц, распечаток с ПЭВМ должно удовлетворять требованию их четкого воспроизведения.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работы необходимо соблюдать равномерную плотность, контрастность и четкость изображения по всему отчету. В курсовой работе должны быть четкие, не расплывшиеся линии, буквы, цифры и знаки.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Опечатки, описки и графические неточности, обнаруженные в процессе подготовки отчета,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— рукописным способом.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Повреждения листов текстовых документов, помарки и следы не полностью удаленного прежнего текста (графики) не допускаются.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внесения исправлений документ должен удовлетворять требованиям микрофильмирования, установленным ГОСТ 13.1.002.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названия учреждений, организаций, фирм, название изделий и другие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собственные в отчете приводят на языке оригинала. Допускается транслитерировать имена собственные и приводить названия организаций в переводе на язык отчета с добавлением (при первом упоминании) оригинального названия.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Сокращение русских слов и словосочетаний в отчете — по </w:t>
      </w:r>
      <w:hyperlink r:id="rId6" w:tgtFrame="_blank" w:history="1">
        <w:r>
          <w:rPr>
            <w:rStyle w:val="a4"/>
            <w:rFonts w:ascii="Times New Roman" w:hAnsi="Times New Roman"/>
            <w:color w:val="000000"/>
            <w:szCs w:val="28"/>
          </w:rPr>
          <w:t>ГОСТ 7.12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Построение курсовой работы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Курсовую работу следует делить на разделы (главы), подразделы (параграфы) и пункты. Пункты, при необходимости, могут делиться на подпункты. При делении текста работы на пункты и подпункты необходимо, чтобы каждый пункт содержал законченную информацию.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Разделы, подразделы, пункты и подпункты следует нумеровать арабскими цифрами и записывать с абзацного отступа.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Разделы должны иметь порядковую нумерацию в пределах всего текста, за исключением приложений.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Пример — 1,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2,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3 и т. д.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подраздела или пункта включает номер раздела и порядковый номер подраздела или пункта,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разделенные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точкой.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Пример — 1.1, 1.2, 1.3 и т. д.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подпункта включает номер раздела, подраздела, пункта и порядковый номер подпункта,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разделенные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точкой.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Пример — 1.1.1.1, 1.1.1.2, 1.1.1.3 и т. д.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номера раздела, подраздела, пункта и подпункта в тексте точку не ставят.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текст курсовой работы подразделяют только на пункты, их следует нумеровать, за исключением приложений, порядковыми номерами в пределах всего отчета.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раздел или подраздел имеет только один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пункт имеет один подпункт, то нумеровать его не следует.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Разделы, подразделы должны иметь заголовки. Заголовки должны четко и кратко отражать содержание разделов, подразделов.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Заголовки разделов, подразделов и пунктов следует печатать с абзацного отступа с прописной буквы без точки в конце, не подчеркивая. Если заголовок состоит из двух предложений, их разделяют точкой.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Нумерация страниц отчета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Страницы курсовой работы следует нумеровать арабскими цифрами, соблюдая сквозную нумерацию по всему тексту отчета. Номер страницы проставляют в центре нижней части листа без точки.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Титульный лист и оглавление (содержание) включают в общую нумерацию работы, но номера страницы на них не ставят.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Иллюстрации и таблицы, расположенные на отдельных листах, включают в общую нумерацию страниц отчета. Иллюстрации и таблицы на листе формата А3 учитывают как одну страницу.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Нумерация разделов, подразделов, пунктов, подпунктов курсовой работы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Пример </w:t>
      </w:r>
    </w:p>
    <w:p w:rsidR="003D2F8A" w:rsidRDefault="003D2F8A" w:rsidP="003458EC">
      <w:pPr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 Типы и основные размеры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1.2 Нумерация пунктов первого раздела 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458EC">
      <w:pPr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 Технические требования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2.2 Нумерация пунктов второго раздела 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 </w:t>
      </w:r>
    </w:p>
    <w:p w:rsidR="003D2F8A" w:rsidRDefault="003D2F8A" w:rsidP="003458EC">
      <w:pPr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 Методы испытаний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3.1 Аппараты, материалы и реактивы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458EC">
      <w:pPr>
        <w:spacing w:after="0" w:line="240" w:lineRule="auto"/>
        <w:ind w:left="993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458EC">
      <w:pPr>
        <w:spacing w:after="0" w:line="240" w:lineRule="auto"/>
        <w:ind w:left="993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3.1.2 Нумерация пунктов первого подраздела третьего раздела документа </w:t>
      </w:r>
    </w:p>
    <w:p w:rsidR="003D2F8A" w:rsidRDefault="003D2F8A" w:rsidP="003458EC">
      <w:pPr>
        <w:spacing w:after="0" w:line="240" w:lineRule="auto"/>
        <w:ind w:left="993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3.2 Подготовка к испыт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анию </w:t>
      </w:r>
    </w:p>
    <w:p w:rsidR="003D2F8A" w:rsidRDefault="003D2F8A" w:rsidP="003458EC">
      <w:pPr>
        <w:spacing w:after="0" w:line="240" w:lineRule="auto"/>
        <w:ind w:left="993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458EC">
      <w:pPr>
        <w:spacing w:after="0" w:line="240" w:lineRule="auto"/>
        <w:ind w:left="993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3.2.2 Нумерация пунктов второго подраздела третьего раздела документа </w:t>
      </w:r>
    </w:p>
    <w:p w:rsidR="003D2F8A" w:rsidRDefault="003D2F8A" w:rsidP="003458EC">
      <w:pPr>
        <w:spacing w:after="0" w:line="240" w:lineRule="auto"/>
        <w:ind w:left="993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3.2.3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раздел состоит из одного подраздела, то подраздел не нумеруется. Если подраздел состоит из одного пункта, то пункт не нумеруется. Наличие одного подраздела в разделе эквивалентно их фактическому отсутствию.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текст курсовой работы подразделяется только на пункты, то они нумеруются порядковыми номерами в пределах всего отчета.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Пункты, при необходимости, могут быть разбиты на подпункты, которые должны иметь порядковую нумерацию в пределах каждого пункта, например 4.2.1.1, 4.2.1.2, 4.2.1.3 и т. д.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 пунктов или подпунктов могут быть приведены перечисления.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з, о,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ь, и, ы, ъ), после которой ставится скобка.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Пример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а)___________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б) ___________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1)_____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2)_____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Каждый структурный элемент отчета следует начинать с нового листа (страницы).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Нумерация страниц отчета и приложений, входящих в состав отчета, должна быть сквозная.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Иллюстрации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Иллюстрации (чертежи, 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Иллюстрации могут быть в компьютерном исполнении, в том числе и цветные.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 иллюстрации должны быть даны ссылки в отчете.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Чертежи, графики, диаграммы, схемы, иллюстрации, помещаемые в отчете, должны соответствовать требованиям государственных стандартов Единой системы конструкторской документации (ЕСКД).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выполнение чертежей, графиков, диаграмм, схем посредством использования компьютерной печати.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Фотоснимки размером меньше формата 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наклеены на стандартные листы белой бумаги.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Иллюстрации, за исключением иллюстрации приложений, следует нумеровать арабскими цифрами сквозной нумерацией.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рисунок один, то он обозначается «Рисунок 1». Слово «рисунок» и его наименование располагают посередине строки.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разделенных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точкой. Например, Рисунок 1.1. Пример оформления иллюстрации рисунок 1.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— Детали прибора.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 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Таблицы</w:t>
      </w:r>
    </w:p>
    <w:p w:rsidR="003D2F8A" w:rsidRDefault="003D2F8A" w:rsidP="003D2F8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noProof/>
          <w:lang w:eastAsia="ru-RU"/>
        </w:rPr>
        <w:lastRenderedPageBreak/>
        <w:drawing>
          <wp:inline distT="0" distB="0" distL="0" distR="0">
            <wp:extent cx="4659630" cy="2321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8A" w:rsidRDefault="003D2F8A" w:rsidP="003D2F8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Рисунок 1 - Относительная экономия (перерасход) оборотных средств ООО «Смена»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переносе части таблицы название помещают только над первой частью таблицы, нижнюю горизонтальную черту, ограничивающую таблицу, не проводят.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следует располагать в отчете непосредственно после текста, в котором она упоминается впервые, или на следующей странице.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 таблицы должны быть ссылки в отчете. При ссылке следует писать слово «таблица» с указанием ее номера.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— боковик.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—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Цифровой материал, как правило, оформляют в виде таблиц. Состав и оформления таблицы показано на рисунке 2. Пример оформления таблицы приведен на рисунке 3.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Таблицы, за исключением таблиц приложений, следует нумеровать арабскими цифрами сквозной нумерацией.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разделенных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точкой.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860"/>
        <w:gridCol w:w="1350"/>
        <w:gridCol w:w="1350"/>
        <w:gridCol w:w="1350"/>
        <w:gridCol w:w="955"/>
        <w:gridCol w:w="762"/>
        <w:gridCol w:w="1900"/>
      </w:tblGrid>
      <w:tr w:rsidR="003D2F8A" w:rsidTr="003D2F8A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Таблица </w:t>
            </w:r>
          </w:p>
        </w:tc>
        <w:tc>
          <w:tcPr>
            <w:tcW w:w="7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</w:p>
        </w:tc>
        <w:tc>
          <w:tcPr>
            <w:tcW w:w="7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</w:p>
        </w:tc>
        <w:tc>
          <w:tcPr>
            <w:tcW w:w="7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D2F8A" w:rsidTr="003D2F8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таблицы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D2F8A" w:rsidTr="003D2F8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Заголовки граф </w:t>
            </w:r>
          </w:p>
        </w:tc>
      </w:tr>
      <w:tr w:rsidR="003D2F8A" w:rsidTr="003D2F8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Головка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Подзаголовки граф </w:t>
            </w:r>
          </w:p>
        </w:tc>
      </w:tr>
      <w:tr w:rsidR="003D2F8A" w:rsidTr="003D2F8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Строки (горизонтальные ряды) </w:t>
            </w:r>
          </w:p>
        </w:tc>
      </w:tr>
      <w:tr w:rsidR="003D2F8A" w:rsidTr="003D2F8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D2F8A" w:rsidTr="003D2F8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Боковик для (графа заголовков)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Графы (колонки)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F8A" w:rsidRDefault="003D2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3D2F8A" w:rsidRDefault="003D2F8A" w:rsidP="003D2F8A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2 – Состав и оформления таблицы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Таблицы каждого приложения обозначают отдельной нумерацией арабскими цифрами с добавлением перед цифрой обозначения приложения.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в документе одна таблица, то она должна быть обозначена «Таблица 1» или «Таблица В. 1», если она приведена в приложении В.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55880</wp:posOffset>
                </wp:positionV>
                <wp:extent cx="5991860" cy="2641600"/>
                <wp:effectExtent l="0" t="0" r="2794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860" cy="311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F8A" w:rsidRDefault="003D2F8A" w:rsidP="003D2F8A">
                            <w:pPr>
                              <w:pStyle w:val="p"/>
                              <w:spacing w:before="0" w:after="0"/>
                              <w:ind w:left="709" w:firstLine="0"/>
                              <w:jc w:val="center"/>
                              <w:outlineLvl w:val="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2F8A" w:rsidRDefault="003D2F8A" w:rsidP="003D2F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Таблица 7 - Анализ дебиторской задолженности ОАО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Автоэлектроника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» по срокам образования, тыс. руб.</w:t>
                            </w:r>
                          </w:p>
                          <w:tbl>
                            <w:tblPr>
                              <w:tblW w:w="5000" w:type="pct"/>
                              <w:tblCellMar>
                                <w:left w:w="40" w:type="dxa"/>
                                <w:right w:w="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32"/>
                              <w:gridCol w:w="845"/>
                              <w:gridCol w:w="913"/>
                              <w:gridCol w:w="887"/>
                              <w:gridCol w:w="1064"/>
                              <w:gridCol w:w="872"/>
                              <w:gridCol w:w="1390"/>
                            </w:tblGrid>
                            <w:tr w:rsidR="003D2F8A">
                              <w:trPr>
                                <w:trHeight w:val="586"/>
                              </w:trPr>
                              <w:tc>
                                <w:tcPr>
                                  <w:tcW w:w="175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Наименование дебитора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0-30 дней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31 - 60 дней</w:t>
                                  </w:r>
                                </w:p>
                              </w:tc>
                              <w:tc>
                                <w:tcPr>
                                  <w:tcW w:w="482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61 - 90 дней</w:t>
                                  </w:r>
                                </w:p>
                              </w:tc>
                              <w:tc>
                                <w:tcPr>
                                  <w:tcW w:w="578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Свыше 90 дней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755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Доля в общем итоге, %</w:t>
                                  </w:r>
                                </w:p>
                              </w:tc>
                            </w:tr>
                            <w:tr w:rsidR="003D2F8A">
                              <w:trPr>
                                <w:trHeight w:val="374"/>
                              </w:trPr>
                              <w:tc>
                                <w:tcPr>
                                  <w:tcW w:w="175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ОАО «АвтоВАЗ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1540</w:t>
                                  </w:r>
                                </w:p>
                              </w:tc>
                              <w:tc>
                                <w:tcPr>
                                  <w:tcW w:w="482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689</w:t>
                                  </w:r>
                                </w:p>
                              </w:tc>
                              <w:tc>
                                <w:tcPr>
                                  <w:tcW w:w="578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1766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4275</w:t>
                                  </w:r>
                                </w:p>
                              </w:tc>
                              <w:tc>
                                <w:tcPr>
                                  <w:tcW w:w="755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7,2</w:t>
                                  </w:r>
                                </w:p>
                              </w:tc>
                            </w:tr>
                            <w:tr w:rsidR="003D2F8A">
                              <w:trPr>
                                <w:trHeight w:val="192"/>
                              </w:trPr>
                              <w:tc>
                                <w:tcPr>
                                  <w:tcW w:w="175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ООО «ТЗК ГАЗ»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1765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4278</w:t>
                                  </w:r>
                                </w:p>
                              </w:tc>
                              <w:tc>
                                <w:tcPr>
                                  <w:tcW w:w="482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1870</w:t>
                                  </w:r>
                                </w:p>
                              </w:tc>
                              <w:tc>
                                <w:tcPr>
                                  <w:tcW w:w="578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2587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10500</w:t>
                                  </w:r>
                                </w:p>
                              </w:tc>
                              <w:tc>
                                <w:tcPr>
                                  <w:tcW w:w="755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17,8</w:t>
                                  </w:r>
                                </w:p>
                              </w:tc>
                            </w:tr>
                            <w:tr w:rsidR="003D2F8A">
                              <w:trPr>
                                <w:trHeight w:val="384"/>
                              </w:trPr>
                              <w:tc>
                                <w:tcPr>
                                  <w:tcW w:w="175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ОАО «УАЗ»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8100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3657</w:t>
                                  </w:r>
                                </w:p>
                              </w:tc>
                              <w:tc>
                                <w:tcPr>
                                  <w:tcW w:w="482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4200</w:t>
                                  </w:r>
                                </w:p>
                              </w:tc>
                              <w:tc>
                                <w:tcPr>
                                  <w:tcW w:w="578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5613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21570</w:t>
                                  </w:r>
                                </w:p>
                              </w:tc>
                              <w:tc>
                                <w:tcPr>
                                  <w:tcW w:w="755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36,7</w:t>
                                  </w:r>
                                </w:p>
                              </w:tc>
                            </w:tr>
                            <w:tr w:rsidR="003D2F8A">
                              <w:trPr>
                                <w:trHeight w:val="374"/>
                              </w:trPr>
                              <w:tc>
                                <w:tcPr>
                                  <w:tcW w:w="175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ОАО «ЗМЗ»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2389</w:t>
                                  </w:r>
                                </w:p>
                              </w:tc>
                              <w:tc>
                                <w:tcPr>
                                  <w:tcW w:w="482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6745</w:t>
                                  </w:r>
                                </w:p>
                              </w:tc>
                              <w:tc>
                                <w:tcPr>
                                  <w:tcW w:w="578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2031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14665</w:t>
                                  </w:r>
                                </w:p>
                              </w:tc>
                              <w:tc>
                                <w:tcPr>
                                  <w:tcW w:w="755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24,9</w:t>
                                  </w:r>
                                </w:p>
                              </w:tc>
                            </w:tr>
                            <w:tr w:rsidR="003D2F8A">
                              <w:trPr>
                                <w:trHeight w:val="202"/>
                              </w:trPr>
                              <w:tc>
                                <w:tcPr>
                                  <w:tcW w:w="175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Прочие дебиторы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7760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4200</w:t>
                                  </w:r>
                                </w:p>
                              </w:tc>
                              <w:tc>
                                <w:tcPr>
                                  <w:tcW w:w="482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4567</w:t>
                                  </w:r>
                                </w:p>
                              </w:tc>
                              <w:tc>
                                <w:tcPr>
                                  <w:tcW w:w="578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1643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18170</w:t>
                                  </w:r>
                                </w:p>
                              </w:tc>
                              <w:tc>
                                <w:tcPr>
                                  <w:tcW w:w="755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30,9</w:t>
                                  </w:r>
                                </w:p>
                              </w:tc>
                            </w:tr>
                            <w:tr w:rsidR="003D2F8A">
                              <w:trPr>
                                <w:trHeight w:val="192"/>
                              </w:trPr>
                              <w:tc>
                                <w:tcPr>
                                  <w:tcW w:w="175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21394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16064</w:t>
                                  </w:r>
                                </w:p>
                              </w:tc>
                              <w:tc>
                                <w:tcPr>
                                  <w:tcW w:w="482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18071</w:t>
                                  </w:r>
                                </w:p>
                              </w:tc>
                              <w:tc>
                                <w:tcPr>
                                  <w:tcW w:w="578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13640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58680</w:t>
                                  </w:r>
                                </w:p>
                              </w:tc>
                              <w:tc>
                                <w:tcPr>
                                  <w:tcW w:w="755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3D2F8A">
                              <w:trPr>
                                <w:trHeight w:val="211"/>
                              </w:trPr>
                              <w:tc>
                                <w:tcPr>
                                  <w:tcW w:w="175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Доля в общем итоге, %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36,4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27,3</w:t>
                                  </w:r>
                                </w:p>
                              </w:tc>
                              <w:tc>
                                <w:tcPr>
                                  <w:tcW w:w="482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30,7</w:t>
                                  </w:r>
                                </w:p>
                              </w:tc>
                              <w:tc>
                                <w:tcPr>
                                  <w:tcW w:w="578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23,2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755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D2F8A" w:rsidRDefault="003D2F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F8A" w:rsidRDefault="003D2F8A" w:rsidP="003D2F8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</w:pPr>
                          </w:p>
                          <w:p w:rsidR="003D2F8A" w:rsidRDefault="003D2F8A" w:rsidP="003D2F8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</w:pPr>
                          </w:p>
                          <w:p w:rsidR="003D2F8A" w:rsidRDefault="003D2F8A" w:rsidP="003D2F8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</w:pPr>
                          </w:p>
                          <w:p w:rsidR="003D2F8A" w:rsidRDefault="003D2F8A" w:rsidP="003D2F8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8.75pt;margin-top:4.4pt;width:471.8pt;height:2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" filled="f" strokecolor="black [3213]" strokeweight="2pt">
                <v:textbox>
                  <w:txbxContent>
                    <w:p w:rsidR="003D2F8A" w:rsidRDefault="003D2F8A" w:rsidP="003D2F8A">
                      <w:pPr>
                        <w:pStyle w:val="p"/>
                        <w:spacing w:before="0" w:after="0"/>
                        <w:ind w:left="709" w:firstLine="0"/>
                        <w:jc w:val="center"/>
                        <w:outlineLvl w:val="4"/>
                        <w:rPr>
                          <w:sz w:val="28"/>
                          <w:szCs w:val="28"/>
                        </w:rPr>
                      </w:pPr>
                    </w:p>
                    <w:p w:rsidR="003D2F8A" w:rsidRDefault="003D2F8A" w:rsidP="003D2F8A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Таблица 7 - Анализ дебиторской задолженности ОАО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Автоэлектроника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» по срокам образования, тыс. руб.</w:t>
                      </w:r>
                    </w:p>
                    <w:tbl>
                      <w:tblPr>
                        <w:tblW w:w="5000" w:type="pct"/>
                        <w:tblCellMar>
                          <w:left w:w="40" w:type="dxa"/>
                          <w:right w:w="4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32"/>
                        <w:gridCol w:w="845"/>
                        <w:gridCol w:w="913"/>
                        <w:gridCol w:w="887"/>
                        <w:gridCol w:w="1064"/>
                        <w:gridCol w:w="872"/>
                        <w:gridCol w:w="1390"/>
                      </w:tblGrid>
                      <w:tr w:rsidR="003D2F8A">
                        <w:trPr>
                          <w:trHeight w:val="586"/>
                        </w:trPr>
                        <w:tc>
                          <w:tcPr>
                            <w:tcW w:w="175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Наименование дебитора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0-30 дней</w:t>
                            </w:r>
                          </w:p>
                        </w:tc>
                        <w:tc>
                          <w:tcPr>
                            <w:tcW w:w="49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31 - 60 дней</w:t>
                            </w:r>
                          </w:p>
                        </w:tc>
                        <w:tc>
                          <w:tcPr>
                            <w:tcW w:w="482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61 - 90 дней</w:t>
                            </w:r>
                          </w:p>
                        </w:tc>
                        <w:tc>
                          <w:tcPr>
                            <w:tcW w:w="578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Свыше 90 дней</w:t>
                            </w:r>
                          </w:p>
                        </w:tc>
                        <w:tc>
                          <w:tcPr>
                            <w:tcW w:w="474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755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Доля в общем итоге, %</w:t>
                            </w:r>
                          </w:p>
                        </w:tc>
                      </w:tr>
                      <w:tr w:rsidR="003D2F8A">
                        <w:trPr>
                          <w:trHeight w:val="374"/>
                        </w:trPr>
                        <w:tc>
                          <w:tcPr>
                            <w:tcW w:w="175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ОАО «АвтоВАЗ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49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1540</w:t>
                            </w:r>
                          </w:p>
                        </w:tc>
                        <w:tc>
                          <w:tcPr>
                            <w:tcW w:w="482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689</w:t>
                            </w:r>
                          </w:p>
                        </w:tc>
                        <w:tc>
                          <w:tcPr>
                            <w:tcW w:w="578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1766</w:t>
                            </w:r>
                          </w:p>
                        </w:tc>
                        <w:tc>
                          <w:tcPr>
                            <w:tcW w:w="474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4275</w:t>
                            </w:r>
                          </w:p>
                        </w:tc>
                        <w:tc>
                          <w:tcPr>
                            <w:tcW w:w="755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7,2</w:t>
                            </w:r>
                          </w:p>
                        </w:tc>
                      </w:tr>
                      <w:tr w:rsidR="003D2F8A">
                        <w:trPr>
                          <w:trHeight w:val="192"/>
                        </w:trPr>
                        <w:tc>
                          <w:tcPr>
                            <w:tcW w:w="175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ООО «ТЗК ГАЗ»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1765</w:t>
                            </w:r>
                          </w:p>
                        </w:tc>
                        <w:tc>
                          <w:tcPr>
                            <w:tcW w:w="49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4278</w:t>
                            </w:r>
                          </w:p>
                        </w:tc>
                        <w:tc>
                          <w:tcPr>
                            <w:tcW w:w="482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1870</w:t>
                            </w:r>
                          </w:p>
                        </w:tc>
                        <w:tc>
                          <w:tcPr>
                            <w:tcW w:w="578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2587</w:t>
                            </w:r>
                          </w:p>
                        </w:tc>
                        <w:tc>
                          <w:tcPr>
                            <w:tcW w:w="474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10500</w:t>
                            </w:r>
                          </w:p>
                        </w:tc>
                        <w:tc>
                          <w:tcPr>
                            <w:tcW w:w="755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17,8</w:t>
                            </w:r>
                          </w:p>
                        </w:tc>
                      </w:tr>
                      <w:tr w:rsidR="003D2F8A">
                        <w:trPr>
                          <w:trHeight w:val="384"/>
                        </w:trPr>
                        <w:tc>
                          <w:tcPr>
                            <w:tcW w:w="175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ОАО «УАЗ»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8100</w:t>
                            </w:r>
                          </w:p>
                        </w:tc>
                        <w:tc>
                          <w:tcPr>
                            <w:tcW w:w="49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3657</w:t>
                            </w:r>
                          </w:p>
                        </w:tc>
                        <w:tc>
                          <w:tcPr>
                            <w:tcW w:w="482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4200</w:t>
                            </w:r>
                          </w:p>
                        </w:tc>
                        <w:tc>
                          <w:tcPr>
                            <w:tcW w:w="578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5613</w:t>
                            </w:r>
                          </w:p>
                        </w:tc>
                        <w:tc>
                          <w:tcPr>
                            <w:tcW w:w="474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21570</w:t>
                            </w:r>
                          </w:p>
                        </w:tc>
                        <w:tc>
                          <w:tcPr>
                            <w:tcW w:w="755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36,7</w:t>
                            </w:r>
                          </w:p>
                        </w:tc>
                      </w:tr>
                      <w:tr w:rsidR="003D2F8A">
                        <w:trPr>
                          <w:trHeight w:val="374"/>
                        </w:trPr>
                        <w:tc>
                          <w:tcPr>
                            <w:tcW w:w="175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ОАО «ЗМЗ»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49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2389</w:t>
                            </w:r>
                          </w:p>
                        </w:tc>
                        <w:tc>
                          <w:tcPr>
                            <w:tcW w:w="482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6745</w:t>
                            </w:r>
                          </w:p>
                        </w:tc>
                        <w:tc>
                          <w:tcPr>
                            <w:tcW w:w="578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2031</w:t>
                            </w:r>
                          </w:p>
                        </w:tc>
                        <w:tc>
                          <w:tcPr>
                            <w:tcW w:w="474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14665</w:t>
                            </w:r>
                          </w:p>
                        </w:tc>
                        <w:tc>
                          <w:tcPr>
                            <w:tcW w:w="755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24,9</w:t>
                            </w:r>
                          </w:p>
                        </w:tc>
                      </w:tr>
                      <w:tr w:rsidR="003D2F8A">
                        <w:trPr>
                          <w:trHeight w:val="202"/>
                        </w:trPr>
                        <w:tc>
                          <w:tcPr>
                            <w:tcW w:w="175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Прочие дебиторы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7760</w:t>
                            </w:r>
                          </w:p>
                        </w:tc>
                        <w:tc>
                          <w:tcPr>
                            <w:tcW w:w="49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4200</w:t>
                            </w:r>
                          </w:p>
                        </w:tc>
                        <w:tc>
                          <w:tcPr>
                            <w:tcW w:w="482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4567</w:t>
                            </w:r>
                          </w:p>
                        </w:tc>
                        <w:tc>
                          <w:tcPr>
                            <w:tcW w:w="578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1643</w:t>
                            </w:r>
                          </w:p>
                        </w:tc>
                        <w:tc>
                          <w:tcPr>
                            <w:tcW w:w="474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18170</w:t>
                            </w:r>
                          </w:p>
                        </w:tc>
                        <w:tc>
                          <w:tcPr>
                            <w:tcW w:w="755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30,9</w:t>
                            </w:r>
                          </w:p>
                        </w:tc>
                      </w:tr>
                      <w:tr w:rsidR="003D2F8A">
                        <w:trPr>
                          <w:trHeight w:val="192"/>
                        </w:trPr>
                        <w:tc>
                          <w:tcPr>
                            <w:tcW w:w="175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21394</w:t>
                            </w:r>
                          </w:p>
                        </w:tc>
                        <w:tc>
                          <w:tcPr>
                            <w:tcW w:w="49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16064</w:t>
                            </w:r>
                          </w:p>
                        </w:tc>
                        <w:tc>
                          <w:tcPr>
                            <w:tcW w:w="482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18071</w:t>
                            </w:r>
                          </w:p>
                        </w:tc>
                        <w:tc>
                          <w:tcPr>
                            <w:tcW w:w="578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13640</w:t>
                            </w:r>
                          </w:p>
                        </w:tc>
                        <w:tc>
                          <w:tcPr>
                            <w:tcW w:w="474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58680</w:t>
                            </w:r>
                          </w:p>
                        </w:tc>
                        <w:tc>
                          <w:tcPr>
                            <w:tcW w:w="755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100,0</w:t>
                            </w:r>
                          </w:p>
                        </w:tc>
                      </w:tr>
                      <w:tr w:rsidR="003D2F8A">
                        <w:trPr>
                          <w:trHeight w:val="211"/>
                        </w:trPr>
                        <w:tc>
                          <w:tcPr>
                            <w:tcW w:w="175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Доля в общем итоге, %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36,4</w:t>
                            </w:r>
                          </w:p>
                        </w:tc>
                        <w:tc>
                          <w:tcPr>
                            <w:tcW w:w="496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27,3</w:t>
                            </w:r>
                          </w:p>
                        </w:tc>
                        <w:tc>
                          <w:tcPr>
                            <w:tcW w:w="482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30,7</w:t>
                            </w:r>
                          </w:p>
                        </w:tc>
                        <w:tc>
                          <w:tcPr>
                            <w:tcW w:w="578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23,2</w:t>
                            </w:r>
                          </w:p>
                        </w:tc>
                        <w:tc>
                          <w:tcPr>
                            <w:tcW w:w="474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755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D2F8A" w:rsidRDefault="003D2F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D2F8A" w:rsidRDefault="003D2F8A" w:rsidP="003D2F8A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</w:rPr>
                      </w:pPr>
                    </w:p>
                    <w:p w:rsidR="003D2F8A" w:rsidRDefault="003D2F8A" w:rsidP="003D2F8A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</w:rPr>
                      </w:pPr>
                    </w:p>
                    <w:p w:rsidR="003D2F8A" w:rsidRDefault="003D2F8A" w:rsidP="003D2F8A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</w:rPr>
                      </w:pPr>
                    </w:p>
                    <w:p w:rsidR="003D2F8A" w:rsidRDefault="003D2F8A" w:rsidP="003D2F8A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jc w:val="both"/>
        <w:outlineLvl w:val="4"/>
        <w:rPr>
          <w:rFonts w:ascii="Times New Roman" w:eastAsia="Times New Roman" w:hAnsi="Times New Roman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3 – Пример оформления таблицы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Таблицы слева, справа и снизу, как правило, ограничивают линиями. Допускается применять размер шрифта в таблице меньший, чем в тексте.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Разделять заголовки и подзаголовки боковика и граф диагональными линиями не допускается.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Заголовки граф, как правило, записывают параллельно строкам таблицы. При необходимости допускается перпендикулярное расположение заголовков граф.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Головка таблицы должна быть отделена линией от остальной части таблицы.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Оформление таблиц в отчете должно соответствовать </w:t>
      </w:r>
      <w:hyperlink r:id="rId8" w:tgtFrame="_blank" w:history="1">
        <w:r w:rsidRPr="003D2F8A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ГОСТ 1.5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ГОСТ 2.105.</w:t>
      </w:r>
    </w:p>
    <w:p w:rsidR="003D2F8A" w:rsidRP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2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Примечания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«Примечание» следует печатать с прописной буквы с абзаца и не подчеркивать.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Примечания приводят в документах, если необходимы пояснения или справочные данные к содержанию текста, таблиц или графического материала. Примечания не должны содержать требований.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Примечания следует помещать непосредственно после текстового, графического материала или в таблице, к которым относятся эти примечания. Если примечание одно, то после слова «Примечание» ставится тире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Примечание -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Несколько примечаний нумеруются по порядку арабскими цифрами.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Пример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Формулы и уравнения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(=)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после знаков плюс (+), минус (-), умножения (×),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«×».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Формулы в курсовой работе следует нумеровать порядковой нумерацией в пределах всего отчета арабскими цифрами в круглых скобках в крайнем правом положении на строке.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Пример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а:b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(1)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В=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:е</w:t>
      </w:r>
      <w:proofErr w:type="spellEnd"/>
      <w:proofErr w:type="gram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(2)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Одну формулу обозначают —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 1).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Ссылки в тексте на порядковые номера формул дают в скобках. Пример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—...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формуле (1).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разделенных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точкой, например (3.1).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изложения в отчете математических уравнений такой же, как и формул. 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отчете допускается выполнение формул и уравнений рукописным способом черными чернилами.</w:t>
      </w:r>
    </w:p>
    <w:p w:rsidR="003D2F8A" w:rsidRDefault="003D2F8A" w:rsidP="003D2F8A">
      <w:pPr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Научно-справочный аппарат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Научно-справочный аппарат отчета содержит две взаимосвязанные части: список использованных источников и литературы и подстрочные ссылки.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списка производится в соответствии с требованиями, изложенными в таких действующих нормативно-методических материалах, как ГОСТ 7.1-2003. Библиографическая запись. Библиографическое описание. Общие требования и правила составления (М.: Изд-во стандартов, 2004); ГОСТ 7.80–2000. Библиографическая запись. Заголовок. Общие требования и правила составления (М.: Изд-во стандартов, 2001), ГОСТ 7.82–2001. Библиографическая запись. Библиографическое описание электронных ресурсов. </w:t>
      </w:r>
      <w:proofErr w:type="gramStart"/>
      <w:r>
        <w:rPr>
          <w:rFonts w:ascii="Times New Roman" w:hAnsi="Times New Roman"/>
          <w:sz w:val="28"/>
          <w:szCs w:val="28"/>
        </w:rPr>
        <w:t>Общие требования и правила составления (Минск: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Межгос</w:t>
      </w:r>
      <w:proofErr w:type="spellEnd"/>
      <w:r>
        <w:rPr>
          <w:rFonts w:ascii="Times New Roman" w:hAnsi="Times New Roman"/>
          <w:sz w:val="28"/>
          <w:szCs w:val="28"/>
        </w:rPr>
        <w:t>. совет по стандартизации, метрологии и сертификации; М.: Изд-во стандартов, 2001), ГОСТ 7.12–93.</w:t>
      </w:r>
      <w:proofErr w:type="gramEnd"/>
      <w:r>
        <w:rPr>
          <w:rFonts w:ascii="Times New Roman" w:hAnsi="Times New Roman"/>
          <w:sz w:val="28"/>
          <w:szCs w:val="28"/>
        </w:rPr>
        <w:t xml:space="preserve"> Библиографическая запись. Сокращения слов в русском языке. Общие требования и правила (М.: Изд-во стандартов, 1995). Библиографические ссылки составляются на основании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рил. 2 к утратившему силу в основной части, но распространяющемуся на оформление ссылок ГОСТу 7.1-84. Библиографическое описание документа. Общие требования и правила составления (М.: Изд-во стандартов, 1987).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 и литературы печатается через 1,5 интервала. Иностранные источники располагают в алфавитном порядке, причем сначала перечисляется литература на языках, в основе которых лежит латиница, затем – кириллица и иероглифическое письмо. Подстрочные ссылки печатаются через один интервал. Расстояние между списком и подстрочными ссылками составляет 2 интервала.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библиографического описания книги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Первым элементом библиографического описания является автор. В описании издания одного автора приводят его фамилию в именительном падеже и инициалы: 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Коновалов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А. М.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описании издания двух – трех авторов приводят фамилию и инициалы первого из авторов, указанных на титульном листе. Полную информацию об авторах приводят в сведениях об ответственности за косой чертой.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авторов более трех, описание составляют под заглавием (название издания).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информации для описания является титульный лист (для книг), первая страница текста (для статей), титульный экран (для электронных ресурсов).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Относящиеся к основному заглавию даты, а также сведения о месте проведения конференций и т. п., которые грамматически не связаны с заглавием, приводят после заглавия и отделяют запятой. Запятую перед датами не ставят, если в книге они заключены в круглые скобки.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описании приводятся сведения об издании, о переиздании, перепечатке, специальном назначении издания, особых формах его воспроизведения: </w:t>
      </w:r>
    </w:p>
    <w:p w:rsidR="003D2F8A" w:rsidRDefault="003D2F8A" w:rsidP="003D2F8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</w:t>
      </w:r>
    </w:p>
    <w:p w:rsidR="003D2F8A" w:rsidRDefault="003D2F8A" w:rsidP="003D2F8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зд. </w:t>
      </w:r>
    </w:p>
    <w:p w:rsidR="003D2F8A" w:rsidRDefault="003D2F8A" w:rsidP="003D2F8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2-я ред. </w:t>
      </w:r>
    </w:p>
    <w:p w:rsidR="003D2F8A" w:rsidRDefault="003D2F8A" w:rsidP="003D2F8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Офиц. изд. </w:t>
      </w:r>
    </w:p>
    <w:p w:rsidR="003D2F8A" w:rsidRDefault="003D2F8A" w:rsidP="003D2F8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Репринт.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Выходные данные содержат сведения о том, где, когда, кем опубликована книга. Название места издания приводят в именительном падеже. При наличии двух мест издания ограничиваются указанием первого с добавлением сокращения [и др.]. </w:t>
      </w:r>
    </w:p>
    <w:p w:rsidR="003D2F8A" w:rsidRDefault="003D2F8A" w:rsidP="003D2F8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[и др.]. 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места издания допускается для Москвы (М.), Санкт-Петербурга (СПб.). 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Сокращают также: 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Ростов-на-Дону – Ростов н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 – Н. Новгород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на титульном листе не обозначено место издания, в описании приводится сокращение [Б. м.] (т. е. без места). 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издательства приводят в именительном падеже. Если издательств больше одного, то ограничиваются указанием первого с добавлением сокращения [и др.].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М.: Экономика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Казань: Изд-во Казан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н-та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Прогресс [и др.]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титульном листе не обозначено издательство, в описании приводится сокращение [б. и.] (т. е. без издательства).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Дата издания – это указанный на титульном листе год, например: 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М.: Перспектива, 2014.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года приводят приблизительную дату издания в квадратных скобках.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описании обязательно указываются объем издания и наличие серии.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Примеры описания монографий: </w:t>
      </w:r>
    </w:p>
    <w:p w:rsidR="003D2F8A" w:rsidRDefault="003D2F8A" w:rsidP="003D2F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Институциональная экономика : учеб</w:t>
      </w:r>
      <w:proofErr w:type="gramStart"/>
      <w:r>
        <w:rPr>
          <w:rFonts w:ascii="Times New Roman" w:hAnsi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iCs/>
          <w:sz w:val="28"/>
          <w:szCs w:val="28"/>
        </w:rPr>
        <w:t>особие / под рук. Д.С. Львова. – М.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Инфра-М, 2004. – 317 с. – (Высшее образование).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Еропкин А.М. Деловой ли я человек?: психология и бизнес / А. М. Еропкин, Ю. В. Иванов.–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МАИ , 2013. – 71 с. : ил. 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Сериальные издания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Заглавие сериального издания может быть тематическим, состоящим из одного или нескольких слов, из наименования учреждения или аббревиатуры и типовым, обозначающим вид издания, например: 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экономики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Труды.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сериального издания включает основное заглавие, название серии, год, номер и объем издания. 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описания сериального издания: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и гуманитарные науки. Отечественная и зарубежная литература. Серия 2, Экономика: РЖ. – 2013, № 3. – 165 с.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Статьи из книг, сериальных изданий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описании сначала приводят сведения о статье с указанием фамилии автора и названия, а затем о книге, журнале или другом издании, в котором она приведена.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Пример описания статьи: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Навой А. Введение полной конвертируемости национальной валюты: проблемы теории и практики / А. Навой // Вопросы экономики. – 2013. – № 3. – С.61–71.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Птушенко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 Место самоуправления в российском государстве / А. </w:t>
      </w:r>
      <w:proofErr w:type="spellStart"/>
      <w:r>
        <w:rPr>
          <w:rFonts w:ascii="Times New Roman" w:hAnsi="Times New Roman"/>
          <w:sz w:val="28"/>
          <w:szCs w:val="28"/>
        </w:rPr>
        <w:t>Птушенко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Актуальные проблемы Европы: сб. науч. тр. – М.: [б. и.], 2012. –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2: Дилеммы европейской демократии в начале XXI столетия. – С.162–188.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Подстрочные ссылки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Подстрочные ссылки используются во всех случаях цитирования произведений других авторов, источников и литературы. Обязательно подтверждаются подстрочными ссылками все факты, цифры и другие конкретные данные, приводимые в тексте, заимствованные из источников и литературы.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 нумеруются в сквозном порядке арабскими цифрами в пределах разделов работы (введения, глав, заключения и приложений). Текст каждой ссылки печатается через один межстрочный интервал. Разделяются ссылки двумя интервалами.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Использование недоступных материалов, извлеченных из опубликованных изданий, оформляют так: “Цит.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:”, “Приводятся по:” . В ссылках на правительственные документы указывается, где они опубликованы, например: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производственных кооперативах : </w:t>
      </w:r>
      <w:proofErr w:type="spellStart"/>
      <w:r>
        <w:rPr>
          <w:rFonts w:ascii="Times New Roman" w:hAnsi="Times New Roman"/>
          <w:sz w:val="28"/>
          <w:szCs w:val="28"/>
        </w:rPr>
        <w:t>федер</w:t>
      </w:r>
      <w:proofErr w:type="spellEnd"/>
      <w:r>
        <w:rPr>
          <w:rFonts w:ascii="Times New Roman" w:hAnsi="Times New Roman"/>
          <w:sz w:val="28"/>
          <w:szCs w:val="28"/>
        </w:rPr>
        <w:t>. закон [от 8 мая 1996 г. № 41-ФЗ] // Собр. законодательства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 xml:space="preserve">ос. Федерации. – 1996. – № 20. – Ст. 2321. 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ссылках на литературу указываются: фамилия и инициалы автора, название работы, место издания, издательство, год издания, страница. Например: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Родионов А.А. Налоговые схемы, за которые посадили Ходорковского</w:t>
      </w:r>
      <w:r>
        <w:rPr>
          <w:rFonts w:ascii="Times New Roman" w:hAnsi="Times New Roman"/>
          <w:sz w:val="28"/>
          <w:szCs w:val="28"/>
        </w:rPr>
        <w:t xml:space="preserve"> – М.: Вершина, 2006. – C. 19.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ссылках на статьи, опубликованные в сборниках, указываются: фамилия и инициалы автора, название статьи, название сборника, место издания, издательство, год издания и страницы. Например: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Зелизер</w:t>
      </w:r>
      <w:proofErr w:type="spellEnd"/>
      <w:r>
        <w:rPr>
          <w:rFonts w:ascii="Times New Roman" w:hAnsi="Times New Roman"/>
          <w:sz w:val="28"/>
          <w:szCs w:val="28"/>
        </w:rPr>
        <w:t xml:space="preserve"> В. Создание множественных денег // Западная экономическая социология: хрестоматия соврем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лассики. – М.: РОССПЭН, 2014. – С. 413–430.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ссылках на газеты указываются фамилия и инициалы автора, название статьи, газеты, год издания, число и месяц. Например: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Тумергалиева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 Мировая индустрия отдыха находится на подъеме // Финансовые известия. – 2013. –15 апреля.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Страница указывается, если объем газеты превышает 8 страниц. 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ссылках на журналы указываются фамилия и инициалы автора, название статьи, название журнала, год издания, номер журнала и страницы. Например: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 Проблема разграничения налоговых полномочий и финансовый контроль // Налоги. – 2014. – № 2. – C. 29.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ссылках на архивные документы указываются название архива (полное или общепринятое), номер фонда, номер описи, номер дела и листа. Например: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ГАМО. – Ф. 225. – Оп. 1. – Д. 156. – Л. 80.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повторных ссылках на одну работу данного автора (авторов) основное заглавие и следующие за ним повторяющиеся элементы опускают, пишут фамилии и инициалы автора (авторов), употребляя слова: “Указ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оч.” и приводят номер страницы, на которую ссылаются, например, в первой ссылке: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Улюкаев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Проблемы государственной бюджетной политики.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Дело, 2016. – C. 77.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повторной ссылке: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Улюкаев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В.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оч. – C. 25.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ссылке на государственные стандарты указываются: номер стандарта, его название, дата введения, место издания, издательство и год издания, например: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6.30–2003. Унифицированная система организационно-распорядительной документации. Требования к оформлению документов.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стандартов, 2004. – С. 9.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повторных ссылках на стандарты приводятся обозначение документа, его номер и год принятия, например: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6.30–2003. </w:t>
      </w:r>
    </w:p>
    <w:p w:rsidR="003D2F8A" w:rsidRDefault="003D2F8A" w:rsidP="003D2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Подстрочные ссылки печатаются через один интервал.</w:t>
      </w:r>
    </w:p>
    <w:p w:rsidR="003D2F8A" w:rsidRDefault="003D2F8A" w:rsidP="003D2F8A">
      <w:pPr>
        <w:pStyle w:val="h2"/>
        <w:spacing w:before="0" w:after="0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3D2F8A" w:rsidRDefault="003D2F8A" w:rsidP="003D2F8A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Приложение оформляют как продолжение данного документа на последующих его листах или выпускают в виде самостоятельного документа. </w:t>
      </w:r>
    </w:p>
    <w:p w:rsidR="003D2F8A" w:rsidRDefault="003D2F8A" w:rsidP="003D2F8A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В тексте документа на все приложения должны быть даны ссылки. Приложения располагают в порядке ссылок на них в тексте документа. Каждое приложение следует начинать с новой страницы с указанием наверху посередине страницы слова «Приложение», его обозначения и степени. 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3D2F8A" w:rsidRDefault="003D2F8A" w:rsidP="003D2F8A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, И, О, Ч, Ь, Ы, Ъ. После слова «Приложение» следует буква, обозначающая его последовательность. </w:t>
      </w:r>
    </w:p>
    <w:p w:rsidR="003D2F8A" w:rsidRDefault="003D2F8A" w:rsidP="003D2F8A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>Допускается обозначение приложений буквами латинского алфавита, за исключением букв I и O.</w:t>
      </w:r>
    </w:p>
    <w:p w:rsidR="003D2F8A" w:rsidRDefault="003D2F8A" w:rsidP="003D2F8A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В случае полного использования букв русского и латинского алфавитов допускается обозначать приложения арабскими цифрами. </w:t>
      </w:r>
    </w:p>
    <w:p w:rsidR="003D2F8A" w:rsidRDefault="003D2F8A" w:rsidP="003D2F8A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>Если в документе одно приложение, оно обозначается «Приложение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». </w:t>
      </w:r>
    </w:p>
    <w:p w:rsidR="003D2F8A" w:rsidRDefault="003D2F8A" w:rsidP="003D2F8A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 </w:t>
      </w:r>
    </w:p>
    <w:p w:rsidR="003D2F8A" w:rsidRDefault="003D2F8A" w:rsidP="003D2F8A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Приложения должны иметь общую с остальной частью документа сквозную нумерацию страниц. При необходимости такое приложение может иметь «Содержание». </w:t>
      </w:r>
    </w:p>
    <w:p w:rsidR="003D2F8A" w:rsidRDefault="003D2F8A" w:rsidP="003D2F8A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Приложениям или частям, выпущенным в виде самостоятельного документа, обозначение присваивают как части документа с указанием в коде документа ее порядкового номера. </w:t>
      </w:r>
    </w:p>
    <w:p w:rsidR="000011F1" w:rsidRDefault="000011F1"/>
    <w:sectPr w:rsidR="0000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87A"/>
    <w:multiLevelType w:val="hybridMultilevel"/>
    <w:tmpl w:val="847C0D6C"/>
    <w:lvl w:ilvl="0" w:tplc="2348E432">
      <w:numFmt w:val="bullet"/>
      <w:lvlText w:val="–"/>
      <w:lvlJc w:val="left"/>
      <w:pPr>
        <w:tabs>
          <w:tab w:val="num" w:pos="1995"/>
        </w:tabs>
        <w:ind w:left="1995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F8"/>
    <w:rsid w:val="000011F1"/>
    <w:rsid w:val="002656E1"/>
    <w:rsid w:val="002E11F8"/>
    <w:rsid w:val="003458EC"/>
    <w:rsid w:val="003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8A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2656E1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2656E1"/>
    <w:pPr>
      <w:keepNext/>
      <w:spacing w:before="240" w:after="60"/>
      <w:jc w:val="center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656E1"/>
    <w:pPr>
      <w:keepNext/>
      <w:jc w:val="right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656E1"/>
    <w:pPr>
      <w:keepNext/>
      <w:spacing w:line="360" w:lineRule="auto"/>
      <w:jc w:val="center"/>
      <w:outlineLvl w:val="3"/>
    </w:pPr>
    <w:rPr>
      <w:rFonts w:eastAsia="Times New Roman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56E1"/>
    <w:pPr>
      <w:keepNext/>
      <w:spacing w:after="220" w:line="360" w:lineRule="auto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656E1"/>
    <w:pPr>
      <w:keepNext/>
      <w:spacing w:line="360" w:lineRule="auto"/>
      <w:jc w:val="center"/>
      <w:outlineLvl w:val="5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656E1"/>
    <w:pPr>
      <w:keepNext/>
      <w:spacing w:line="360" w:lineRule="auto"/>
      <w:jc w:val="both"/>
      <w:outlineLvl w:val="6"/>
    </w:pPr>
    <w:rPr>
      <w:rFonts w:eastAsia="Times New Roman"/>
      <w:color w:val="000000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656E1"/>
    <w:pPr>
      <w:keepNext/>
      <w:spacing w:line="360" w:lineRule="auto"/>
      <w:ind w:firstLine="709"/>
      <w:jc w:val="center"/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2656E1"/>
    <w:pPr>
      <w:keepNext/>
      <w:shd w:val="clear" w:color="auto" w:fill="FFFFFF"/>
      <w:spacing w:line="336" w:lineRule="auto"/>
      <w:ind w:right="106"/>
      <w:jc w:val="center"/>
      <w:outlineLvl w:val="8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6E1"/>
    <w:rPr>
      <w:rFonts w:eastAsia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656E1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56E1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6E1"/>
    <w:rPr>
      <w:rFonts w:eastAsia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656E1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656E1"/>
    <w:rPr>
      <w:rFonts w:eastAsia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656E1"/>
    <w:rPr>
      <w:rFonts w:eastAsia="Times New Roman"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656E1"/>
    <w:rPr>
      <w:rFonts w:eastAsia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2656E1"/>
    <w:rPr>
      <w:rFonts w:eastAsia="Times New Roman"/>
      <w:sz w:val="28"/>
      <w:shd w:val="clear" w:color="auto" w:fill="FFFFFF"/>
      <w:lang w:eastAsia="ru-RU"/>
    </w:rPr>
  </w:style>
  <w:style w:type="paragraph" w:styleId="a3">
    <w:name w:val="caption"/>
    <w:basedOn w:val="a"/>
    <w:next w:val="a"/>
    <w:semiHidden/>
    <w:unhideWhenUsed/>
    <w:qFormat/>
    <w:rsid w:val="002656E1"/>
    <w:pPr>
      <w:shd w:val="clear" w:color="auto" w:fill="FFFFFF"/>
      <w:spacing w:line="360" w:lineRule="auto"/>
      <w:jc w:val="center"/>
      <w:outlineLvl w:val="0"/>
    </w:pPr>
    <w:rPr>
      <w:rFonts w:eastAsia="Times New Roman"/>
      <w:i/>
      <w:iCs/>
      <w:color w:val="000000"/>
      <w:spacing w:val="5"/>
      <w:szCs w:val="21"/>
    </w:rPr>
  </w:style>
  <w:style w:type="character" w:styleId="a4">
    <w:name w:val="Hyperlink"/>
    <w:uiPriority w:val="99"/>
    <w:semiHidden/>
    <w:unhideWhenUsed/>
    <w:rsid w:val="003D2F8A"/>
    <w:rPr>
      <w:color w:val="0000FF"/>
      <w:u w:val="single"/>
    </w:rPr>
  </w:style>
  <w:style w:type="paragraph" w:customStyle="1" w:styleId="p">
    <w:name w:val="p"/>
    <w:basedOn w:val="a"/>
    <w:rsid w:val="003D2F8A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2">
    <w:name w:val="h2"/>
    <w:basedOn w:val="a"/>
    <w:rsid w:val="003D2F8A"/>
    <w:pPr>
      <w:spacing w:before="240" w:after="48" w:line="240" w:lineRule="auto"/>
      <w:ind w:firstLine="72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F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8A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2656E1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2656E1"/>
    <w:pPr>
      <w:keepNext/>
      <w:spacing w:before="240" w:after="60"/>
      <w:jc w:val="center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656E1"/>
    <w:pPr>
      <w:keepNext/>
      <w:jc w:val="right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656E1"/>
    <w:pPr>
      <w:keepNext/>
      <w:spacing w:line="360" w:lineRule="auto"/>
      <w:jc w:val="center"/>
      <w:outlineLvl w:val="3"/>
    </w:pPr>
    <w:rPr>
      <w:rFonts w:eastAsia="Times New Roman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56E1"/>
    <w:pPr>
      <w:keepNext/>
      <w:spacing w:after="220" w:line="360" w:lineRule="auto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656E1"/>
    <w:pPr>
      <w:keepNext/>
      <w:spacing w:line="360" w:lineRule="auto"/>
      <w:jc w:val="center"/>
      <w:outlineLvl w:val="5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656E1"/>
    <w:pPr>
      <w:keepNext/>
      <w:spacing w:line="360" w:lineRule="auto"/>
      <w:jc w:val="both"/>
      <w:outlineLvl w:val="6"/>
    </w:pPr>
    <w:rPr>
      <w:rFonts w:eastAsia="Times New Roman"/>
      <w:color w:val="000000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656E1"/>
    <w:pPr>
      <w:keepNext/>
      <w:spacing w:line="360" w:lineRule="auto"/>
      <w:ind w:firstLine="709"/>
      <w:jc w:val="center"/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2656E1"/>
    <w:pPr>
      <w:keepNext/>
      <w:shd w:val="clear" w:color="auto" w:fill="FFFFFF"/>
      <w:spacing w:line="336" w:lineRule="auto"/>
      <w:ind w:right="106"/>
      <w:jc w:val="center"/>
      <w:outlineLvl w:val="8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6E1"/>
    <w:rPr>
      <w:rFonts w:eastAsia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656E1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56E1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6E1"/>
    <w:rPr>
      <w:rFonts w:eastAsia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656E1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656E1"/>
    <w:rPr>
      <w:rFonts w:eastAsia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656E1"/>
    <w:rPr>
      <w:rFonts w:eastAsia="Times New Roman"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656E1"/>
    <w:rPr>
      <w:rFonts w:eastAsia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2656E1"/>
    <w:rPr>
      <w:rFonts w:eastAsia="Times New Roman"/>
      <w:sz w:val="28"/>
      <w:shd w:val="clear" w:color="auto" w:fill="FFFFFF"/>
      <w:lang w:eastAsia="ru-RU"/>
    </w:rPr>
  </w:style>
  <w:style w:type="paragraph" w:styleId="a3">
    <w:name w:val="caption"/>
    <w:basedOn w:val="a"/>
    <w:next w:val="a"/>
    <w:semiHidden/>
    <w:unhideWhenUsed/>
    <w:qFormat/>
    <w:rsid w:val="002656E1"/>
    <w:pPr>
      <w:shd w:val="clear" w:color="auto" w:fill="FFFFFF"/>
      <w:spacing w:line="360" w:lineRule="auto"/>
      <w:jc w:val="center"/>
      <w:outlineLvl w:val="0"/>
    </w:pPr>
    <w:rPr>
      <w:rFonts w:eastAsia="Times New Roman"/>
      <w:i/>
      <w:iCs/>
      <w:color w:val="000000"/>
      <w:spacing w:val="5"/>
      <w:szCs w:val="21"/>
    </w:rPr>
  </w:style>
  <w:style w:type="character" w:styleId="a4">
    <w:name w:val="Hyperlink"/>
    <w:uiPriority w:val="99"/>
    <w:semiHidden/>
    <w:unhideWhenUsed/>
    <w:rsid w:val="003D2F8A"/>
    <w:rPr>
      <w:color w:val="0000FF"/>
      <w:u w:val="single"/>
    </w:rPr>
  </w:style>
  <w:style w:type="paragraph" w:customStyle="1" w:styleId="p">
    <w:name w:val="p"/>
    <w:basedOn w:val="a"/>
    <w:rsid w:val="003D2F8A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2">
    <w:name w:val="h2"/>
    <w:basedOn w:val="a"/>
    <w:rsid w:val="003D2F8A"/>
    <w:pPr>
      <w:spacing w:before="240" w:after="48" w:line="240" w:lineRule="auto"/>
      <w:ind w:firstLine="72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F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-web.ru/norms/common/doc.asp?0&amp;/norms/stands/1_5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b-web.ru/norms/common/doc.asp?0&amp;/norms/stands/7_12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607-ignatova Игнатова</dc:creator>
  <cp:lastModifiedBy>24-semenova Семенова И.А.</cp:lastModifiedBy>
  <cp:revision>2</cp:revision>
  <dcterms:created xsi:type="dcterms:W3CDTF">2018-10-08T08:05:00Z</dcterms:created>
  <dcterms:modified xsi:type="dcterms:W3CDTF">2018-10-08T08:05:00Z</dcterms:modified>
</cp:coreProperties>
</file>