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CB" w:rsidRPr="00051ACB" w:rsidRDefault="00051ACB" w:rsidP="00051ACB">
      <w:pPr>
        <w:shd w:val="clear" w:color="auto" w:fill="FFFFFF"/>
        <w:spacing w:before="240" w:after="60" w:line="240" w:lineRule="auto"/>
        <w:jc w:val="center"/>
        <w:outlineLvl w:val="0"/>
        <w:rPr>
          <w:rFonts w:ascii="Arial" w:eastAsia="Times New Roman" w:hAnsi="Arial" w:cs="Arial"/>
          <w:color w:val="3A3A3A"/>
          <w:kern w:val="36"/>
          <w:sz w:val="48"/>
          <w:szCs w:val="48"/>
          <w:lang w:eastAsia="ru-RU"/>
        </w:rPr>
      </w:pPr>
      <w:bookmarkStart w:id="0" w:name="_Toc223840647"/>
      <w:r w:rsidRPr="00051ACB">
        <w:rPr>
          <w:rFonts w:ascii="Cambria" w:eastAsia="Times New Roman" w:hAnsi="Cambria" w:cs="Arial"/>
          <w:color w:val="3A3A3A"/>
          <w:kern w:val="36"/>
          <w:sz w:val="36"/>
          <w:szCs w:val="36"/>
          <w:lang w:eastAsia="ru-RU"/>
        </w:rPr>
        <w:t>Задание на контрольную работу</w:t>
      </w:r>
      <w:bookmarkEnd w:id="0"/>
    </w:p>
    <w:p w:rsidR="00051ACB" w:rsidRPr="00051ACB" w:rsidRDefault="00051ACB" w:rsidP="00051ACB">
      <w:pPr>
        <w:shd w:val="clear" w:color="auto" w:fill="FFFFFF"/>
        <w:spacing w:before="120" w:line="315" w:lineRule="atLeast"/>
        <w:ind w:firstLine="567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Контрольная работа выполняется на тему </w:t>
      </w:r>
      <w:r w:rsidRPr="00051ACB">
        <w:rPr>
          <w:rFonts w:ascii="Arial" w:eastAsia="Times New Roman" w:hAnsi="Arial" w:cs="Arial"/>
          <w:b/>
          <w:bCs/>
          <w:i/>
          <w:iCs/>
          <w:color w:val="3A3A3A"/>
          <w:sz w:val="21"/>
          <w:szCs w:val="21"/>
          <w:lang w:eastAsia="ru-RU"/>
        </w:rPr>
        <w:t>«Анализ социальной деятельности организации», </w:t>
      </w: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которая включает в себя следующие разделы: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left="993" w:hanging="426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1. Введение (обосновывается актуальность темы).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left="993" w:hanging="426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2. Теоретическое обоснование исследуемой проблемы.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left="993" w:hanging="426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3. Краткая характеристика предприятия, характеристика персонала предприятия.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left="993" w:hanging="426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4. Анализ деятельности по управлению социальным развитием организации: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left="1440" w:hanging="360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a. </w:t>
      </w:r>
      <w:r w:rsidRPr="00051ACB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структурная служба (отдельный специалист), осуществляющие управление социальным развитием;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left="1440" w:hanging="360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b. </w:t>
      </w:r>
      <w:r w:rsidRPr="00051ACB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основные квалификационные требования к специалисту, выполняющему функции социального развития (должностные инструкции);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left="1440" w:hanging="360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c. </w:t>
      </w:r>
      <w:r w:rsidRPr="00051ACB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основные разделы и направления работ в плане социального развития организации, возможность их реализации;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left="1440" w:hanging="360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d. </w:t>
      </w:r>
      <w:r w:rsidRPr="00051ACB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механизм управления социальными процессами в организации.</w:t>
      </w:r>
    </w:p>
    <w:p w:rsidR="00051ACB" w:rsidRPr="00051ACB" w:rsidRDefault="00051ACB" w:rsidP="00051AC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051ACB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5. Заключение (излагаются основные выводы и рекомендации).</w:t>
      </w:r>
    </w:p>
    <w:p w:rsidR="00C774C7" w:rsidRDefault="00C774C7">
      <w:bookmarkStart w:id="1" w:name="_GoBack"/>
      <w:bookmarkEnd w:id="1"/>
    </w:p>
    <w:sectPr w:rsidR="00C7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F"/>
    <w:rsid w:val="00051ACB"/>
    <w:rsid w:val="00B00B2F"/>
    <w:rsid w:val="00C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51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51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Curnos™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2019-03-28T11:02:00Z</dcterms:created>
  <dcterms:modified xsi:type="dcterms:W3CDTF">2019-03-28T11:02:00Z</dcterms:modified>
</cp:coreProperties>
</file>