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53" w:rsidRPr="000E5353" w:rsidRDefault="000E5353" w:rsidP="000E5353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val="ru-RU"/>
        </w:rPr>
      </w:pPr>
      <w:r w:rsidRPr="000E5353">
        <w:rPr>
          <w:rFonts w:ascii="Times New Roman" w:eastAsia="Times New Roman" w:hAnsi="Times New Roman" w:cs="Times New Roman"/>
          <w:b/>
          <w:i/>
          <w:lang w:val="ru-RU"/>
        </w:rPr>
        <w:t>Оценка влияния на показатели экономической эффективности проекта "валютной" и "рублевой" инфляции. Выбор итоговой валюты проекта.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lang w:val="ru-RU"/>
        </w:rPr>
      </w:pPr>
      <w:r w:rsidRPr="000E5353">
        <w:rPr>
          <w:rFonts w:ascii="Times New Roman" w:eastAsia="Times New Roman" w:hAnsi="Times New Roman" w:cs="Times New Roman"/>
          <w:lang w:val="ru-RU"/>
        </w:rPr>
        <w:t>Таблица 1 - Исходные данные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134"/>
        <w:gridCol w:w="1134"/>
        <w:gridCol w:w="1276"/>
      </w:tblGrid>
      <w:tr w:rsidR="000E5353" w:rsidRPr="000E5353" w:rsidTr="00720C84">
        <w:tc>
          <w:tcPr>
            <w:tcW w:w="675" w:type="dxa"/>
            <w:vMerge w:val="restart"/>
            <w:vAlign w:val="center"/>
          </w:tcPr>
          <w:p w:rsidR="000E5353" w:rsidRPr="000E5353" w:rsidRDefault="000E5353" w:rsidP="000E535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0E5353" w:rsidRPr="000E5353" w:rsidRDefault="000E5353" w:rsidP="000E535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4820" w:type="dxa"/>
            <w:gridSpan w:val="4"/>
            <w:vAlign w:val="center"/>
          </w:tcPr>
          <w:p w:rsidR="000E5353" w:rsidRPr="000E5353" w:rsidRDefault="000E5353" w:rsidP="000E535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Значение показателям по расчетным периодам</w:t>
            </w:r>
          </w:p>
        </w:tc>
      </w:tr>
      <w:tr w:rsidR="000E5353" w:rsidRPr="000E5353" w:rsidTr="00720C84">
        <w:tc>
          <w:tcPr>
            <w:tcW w:w="675" w:type="dxa"/>
            <w:vMerge/>
            <w:vAlign w:val="center"/>
          </w:tcPr>
          <w:p w:rsidR="000E5353" w:rsidRPr="000E5353" w:rsidRDefault="000E5353" w:rsidP="000E535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0E5353" w:rsidRPr="000E5353" w:rsidRDefault="000E5353" w:rsidP="000E535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E5353" w:rsidRPr="000E5353" w:rsidRDefault="000E5353" w:rsidP="000E535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E5353" w:rsidRPr="000E5353" w:rsidRDefault="000E5353" w:rsidP="000E535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E5353" w:rsidRPr="000E5353" w:rsidRDefault="000E5353" w:rsidP="000E535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E5353" w:rsidRPr="000E5353" w:rsidRDefault="000E5353" w:rsidP="000E535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Темп внутренней (рублевой) инфляции, %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Темп внешней (долларовой) инфляции, %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Темп роста валютного курса (руб./долл.),%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Реальная норма дисконта, %</w:t>
            </w:r>
          </w:p>
        </w:tc>
        <w:tc>
          <w:tcPr>
            <w:tcW w:w="4820" w:type="dxa"/>
            <w:gridSpan w:val="4"/>
          </w:tcPr>
          <w:p w:rsidR="000E5353" w:rsidRPr="000E5353" w:rsidRDefault="000E5353" w:rsidP="000E535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Валютный курс в нулевом периоде (руб./долл.)</w:t>
            </w:r>
          </w:p>
        </w:tc>
        <w:tc>
          <w:tcPr>
            <w:tcW w:w="4820" w:type="dxa"/>
            <w:gridSpan w:val="4"/>
          </w:tcPr>
          <w:p w:rsidR="000E5353" w:rsidRPr="000E5353" w:rsidRDefault="000E5353" w:rsidP="000E535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Чистый доход в прогнозных ценах, руб.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-15 000000</w:t>
            </w: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7 500000</w:t>
            </w: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9 200000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16 000000</w:t>
            </w: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 xml:space="preserve">Цепной общий индекс рублевой инфляции 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Базисный индекс рублевой инфляции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 xml:space="preserve">Цепной индекс внешней (долларовой) инфляции 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Базисный индекс внешней (долларовой) инфляции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 xml:space="preserve">Цепной индекс роста валютного курса 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Базисный индекс роста валютного курса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Коэффициенты дисконтирования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 xml:space="preserve">Чистый доход в </w:t>
            </w:r>
            <w:proofErr w:type="spellStart"/>
            <w:r w:rsidRPr="000E5353">
              <w:rPr>
                <w:rFonts w:ascii="Times New Roman" w:eastAsia="Times New Roman" w:hAnsi="Times New Roman" w:cs="Times New Roman"/>
              </w:rPr>
              <w:t>дефлированных</w:t>
            </w:r>
            <w:proofErr w:type="spellEnd"/>
            <w:r w:rsidRPr="000E5353">
              <w:rPr>
                <w:rFonts w:ascii="Times New Roman" w:eastAsia="Times New Roman" w:hAnsi="Times New Roman" w:cs="Times New Roman"/>
              </w:rPr>
              <w:t xml:space="preserve"> по рублевой инфляции ценах, руб. 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 xml:space="preserve">Чистый доход в </w:t>
            </w:r>
            <w:proofErr w:type="spellStart"/>
            <w:r w:rsidRPr="000E5353">
              <w:rPr>
                <w:rFonts w:ascii="Times New Roman" w:eastAsia="Times New Roman" w:hAnsi="Times New Roman" w:cs="Times New Roman"/>
              </w:rPr>
              <w:t>дефлированных</w:t>
            </w:r>
            <w:proofErr w:type="spellEnd"/>
            <w:r w:rsidRPr="000E5353">
              <w:rPr>
                <w:rFonts w:ascii="Times New Roman" w:eastAsia="Times New Roman" w:hAnsi="Times New Roman" w:cs="Times New Roman"/>
              </w:rPr>
              <w:t xml:space="preserve"> по индексам внешней инфляции, долл.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 xml:space="preserve">NPV </w:t>
            </w:r>
            <w:proofErr w:type="spellStart"/>
            <w:r w:rsidRPr="000E5353">
              <w:rPr>
                <w:rFonts w:ascii="Times New Roman" w:eastAsia="Times New Roman" w:hAnsi="Times New Roman" w:cs="Times New Roman"/>
              </w:rPr>
              <w:t>дефлированный</w:t>
            </w:r>
            <w:proofErr w:type="spellEnd"/>
            <w:r w:rsidRPr="000E5353">
              <w:rPr>
                <w:rFonts w:ascii="Times New Roman" w:eastAsia="Times New Roman" w:hAnsi="Times New Roman" w:cs="Times New Roman"/>
              </w:rPr>
              <w:t xml:space="preserve"> по рублевой инфляции, руб. 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Суммарный NPV при расчете в рублях</w:t>
            </w:r>
          </w:p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 xml:space="preserve"> (NPV в валюте = NPV в рублях /стр. 5)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IRR при расчете в рублях, %</w:t>
            </w:r>
          </w:p>
        </w:tc>
        <w:tc>
          <w:tcPr>
            <w:tcW w:w="4820" w:type="dxa"/>
            <w:gridSpan w:val="4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 xml:space="preserve">NPV </w:t>
            </w:r>
            <w:proofErr w:type="spellStart"/>
            <w:r w:rsidRPr="000E5353">
              <w:rPr>
                <w:rFonts w:ascii="Times New Roman" w:eastAsia="Times New Roman" w:hAnsi="Times New Roman" w:cs="Times New Roman"/>
              </w:rPr>
              <w:t>дефлированный</w:t>
            </w:r>
            <w:proofErr w:type="spellEnd"/>
            <w:r w:rsidRPr="000E5353">
              <w:rPr>
                <w:rFonts w:ascii="Times New Roman" w:eastAsia="Times New Roman" w:hAnsi="Times New Roman" w:cs="Times New Roman"/>
              </w:rPr>
              <w:t xml:space="preserve"> по индексам внешней (долларовой)  инфляции, долл. 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 xml:space="preserve">Суммарный NPV при </w:t>
            </w:r>
            <w:proofErr w:type="spellStart"/>
            <w:r w:rsidRPr="000E5353">
              <w:rPr>
                <w:rFonts w:ascii="Times New Roman" w:eastAsia="Times New Roman" w:hAnsi="Times New Roman" w:cs="Times New Roman"/>
              </w:rPr>
              <w:t>дефлировании</w:t>
            </w:r>
            <w:proofErr w:type="spellEnd"/>
            <w:r w:rsidRPr="000E5353">
              <w:rPr>
                <w:rFonts w:ascii="Times New Roman" w:eastAsia="Times New Roman" w:hAnsi="Times New Roman" w:cs="Times New Roman"/>
              </w:rPr>
              <w:t xml:space="preserve"> по индексам внешней (долларовой)  инфляции, долл.</w:t>
            </w:r>
          </w:p>
        </w:tc>
        <w:tc>
          <w:tcPr>
            <w:tcW w:w="4820" w:type="dxa"/>
            <w:gridSpan w:val="4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 xml:space="preserve">IRR при </w:t>
            </w:r>
            <w:proofErr w:type="spellStart"/>
            <w:r w:rsidRPr="000E5353">
              <w:rPr>
                <w:rFonts w:ascii="Times New Roman" w:eastAsia="Times New Roman" w:hAnsi="Times New Roman" w:cs="Times New Roman"/>
              </w:rPr>
              <w:t>дефлировании</w:t>
            </w:r>
            <w:proofErr w:type="spellEnd"/>
            <w:r w:rsidRPr="000E5353">
              <w:rPr>
                <w:rFonts w:ascii="Times New Roman" w:eastAsia="Times New Roman" w:hAnsi="Times New Roman" w:cs="Times New Roman"/>
              </w:rPr>
              <w:t xml:space="preserve"> по  индексам внешней (долларовой)  инфляции, %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 xml:space="preserve">Цепной индекс внутренней инфляции доллара 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0E5353" w:rsidRPr="000E5353" w:rsidTr="00720C84">
        <w:tc>
          <w:tcPr>
            <w:tcW w:w="675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E5353">
              <w:rPr>
                <w:rFonts w:ascii="Times New Roman" w:eastAsia="Times New Roman" w:hAnsi="Times New Roman" w:cs="Times New Roman"/>
              </w:rPr>
              <w:t>Базисный индекс внутренней инфляции доллара</w:t>
            </w: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5353" w:rsidRPr="000E5353" w:rsidRDefault="000E5353" w:rsidP="000E535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lang w:val="ru-RU"/>
        </w:rPr>
      </w:pPr>
    </w:p>
    <w:p w:rsidR="000E5353" w:rsidRPr="000E5353" w:rsidRDefault="000E5353" w:rsidP="000E5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3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Первые пять строк отражают внешнюю среду проекта: темп внутренней (рублевой) инфляции и темп внешней (долларовой) инфляции, начальный валютный курс, темп его изменения и норму дисконта. Инфляция отчитывается от момента совершения затрат в периоде 0. Поэтому темп инфляции в этом периоде роли не играет, а базисный индекс инфляции в нулевом периоде автоматически равен 1. Для общности формул принимается, что 1 равняется и цепной индекс инфляции в нулевом периоде. Строка [3] отражает ситуацию валютного коридора во втором периоде. Так как изменение масштаба цен не влияет на оценку эффективности проекта, предполагается на что в нулевом периоде курс рубля равен 50 руб. </w:t>
      </w:r>
      <w:proofErr w:type="gramStart"/>
      <w:r w:rsidRPr="000E5353">
        <w:rPr>
          <w:rFonts w:ascii="Times New Roman" w:eastAsia="Times New Roman" w:hAnsi="Times New Roman" w:cs="Times New Roman"/>
          <w:sz w:val="24"/>
          <w:szCs w:val="24"/>
          <w:lang w:val="ru-RU"/>
        </w:rPr>
        <w:t>за  один</w:t>
      </w:r>
      <w:proofErr w:type="gramEnd"/>
      <w:r w:rsidRPr="000E53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доллар. В строке [6] содержится денежный поток по проекту в прогнозных рублевых ценах.</w:t>
      </w:r>
    </w:p>
    <w:p w:rsidR="000E5353" w:rsidRPr="000E5353" w:rsidRDefault="000E5353" w:rsidP="000E5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353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Начиная со строки [7] показатели являются расчетными. Смотри подсказки.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353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35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Задание: 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3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Оценить экономическую эффективность проекта (рассчитать значения NPV и </w:t>
      </w:r>
      <w:r w:rsidRPr="000E5353">
        <w:rPr>
          <w:rFonts w:ascii="Times New Roman" w:eastAsia="Times New Roman" w:hAnsi="Times New Roman" w:cs="Times New Roman"/>
          <w:sz w:val="24"/>
          <w:szCs w:val="24"/>
        </w:rPr>
        <w:t>IRR</w:t>
      </w:r>
      <w:r w:rsidRPr="000E5353">
        <w:rPr>
          <w:rFonts w:ascii="Times New Roman" w:eastAsia="Times New Roman" w:hAnsi="Times New Roman" w:cs="Times New Roman"/>
          <w:sz w:val="24"/>
          <w:szCs w:val="24"/>
          <w:lang w:val="ru-RU"/>
        </w:rPr>
        <w:t>), используя в качестве базовой валюты: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353">
        <w:rPr>
          <w:rFonts w:ascii="Times New Roman" w:eastAsia="Times New Roman" w:hAnsi="Times New Roman" w:cs="Times New Roman"/>
          <w:sz w:val="24"/>
          <w:szCs w:val="24"/>
          <w:lang w:val="ru-RU"/>
        </w:rPr>
        <w:t>а) рубли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353">
        <w:rPr>
          <w:rFonts w:ascii="Times New Roman" w:eastAsia="Times New Roman" w:hAnsi="Times New Roman" w:cs="Times New Roman"/>
          <w:sz w:val="24"/>
          <w:szCs w:val="24"/>
          <w:lang w:val="ru-RU"/>
        </w:rPr>
        <w:t>б) доллары.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353">
        <w:rPr>
          <w:rFonts w:ascii="Times New Roman" w:eastAsia="Times New Roman" w:hAnsi="Times New Roman" w:cs="Times New Roman"/>
          <w:sz w:val="24"/>
          <w:szCs w:val="24"/>
          <w:lang w:val="ru-RU"/>
        </w:rPr>
        <w:t>2) Сделать вывод о влияние на результаты расчетов выбора той или иной валюты.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353">
        <w:rPr>
          <w:rFonts w:ascii="Times New Roman" w:eastAsia="Times New Roman" w:hAnsi="Times New Roman" w:cs="Times New Roman"/>
          <w:sz w:val="24"/>
          <w:szCs w:val="24"/>
          <w:lang w:val="ru-RU"/>
        </w:rPr>
        <w:t>3) Объяснить почему эффективность проекта в рублях оказывается ниже эффективности проекта с тем же денежным потоком, выраженным в иностранной валюте (см. строки [22] и [23]).</w:t>
      </w:r>
    </w:p>
    <w:p w:rsidR="00F863EE" w:rsidRDefault="000E5353">
      <w:pPr>
        <w:rPr>
          <w:lang w:val="ru-RU"/>
        </w:rPr>
      </w:pPr>
    </w:p>
    <w:p w:rsidR="000E5353" w:rsidRPr="000E5353" w:rsidRDefault="000E5353" w:rsidP="000E5353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E53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Подсказки для расчета таблицы.</w:t>
      </w:r>
    </w:p>
    <w:p w:rsidR="000E5353" w:rsidRPr="000E5353" w:rsidRDefault="000E5353" w:rsidP="000E5353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Базисные индексы в строках [8], [10], [12] и [23] рассчитываются по одинаковым формулам: </w:t>
      </w:r>
    </w:p>
    <w:p w:rsidR="000E5353" w:rsidRPr="000E5353" w:rsidRDefault="000E5353" w:rsidP="000E5353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gramStart"/>
      <w:r w:rsidRPr="000E53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J(</w:t>
      </w:r>
      <w:proofErr w:type="gramEnd"/>
      <w:r w:rsidRPr="000E53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0,0) = 1 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(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m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RU"/>
        </w:rPr>
        <w:t>,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0) = 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(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m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ru-RU"/>
        </w:rPr>
        <w:t>-1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,0)*(1+</w:t>
      </w:r>
      <w:proofErr w:type="spellStart"/>
      <w:r w:rsidRPr="000E5353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m</w:t>
      </w:r>
      <w:proofErr w:type="spellEnd"/>
      <w:r w:rsidRPr="000E535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);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 </w:t>
      </w:r>
      <w:proofErr w:type="spellStart"/>
      <w:r w:rsidRPr="000E5353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k</w:t>
      </w:r>
      <w:proofErr w:type="spellEnd"/>
      <w:proofErr w:type="gramEnd"/>
      <w:r w:rsidRPr="000E5353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цепные индексы рублевой инфляции (строка [8]), внешней долларовой инфляции для строки [10], изменения валютного курса для строки [12] и внутренней инфляции доллара (строка [23]) для </w:t>
      </w:r>
      <w:r w:rsidRPr="000E5353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>- периода.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Чистый доход в </w:t>
      </w:r>
      <w:proofErr w:type="spellStart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>дефлированных</w:t>
      </w:r>
      <w:proofErr w:type="spellEnd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рублевой инфляции ценах, выраженный в рублях (строка [14]), рассчитывается посредством </w:t>
      </w:r>
      <w:proofErr w:type="spellStart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>дефлирования</w:t>
      </w:r>
      <w:proofErr w:type="spellEnd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>, т.е. делением на базисный индекс рублевой инфляции (строка [8]).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Чистый доход в ценах, </w:t>
      </w:r>
      <w:proofErr w:type="spellStart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>дефлированных</w:t>
      </w:r>
      <w:proofErr w:type="spellEnd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индексам внешней (долларовой) инфляции, выраженный в долларах (строка [15]) рассчитывается путем </w:t>
      </w:r>
      <w:proofErr w:type="spellStart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>дефлирования</w:t>
      </w:r>
      <w:proofErr w:type="spellEnd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чистого дохода через базисный индекс внутренней инфляции иностранной валюты.</w:t>
      </w:r>
    </w:p>
    <w:p w:rsidR="000E5353" w:rsidRPr="000E5353" w:rsidRDefault="000E5353" w:rsidP="000E535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1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0E5353" w:rsidRPr="000E5353" w:rsidTr="000E5353">
        <w:tc>
          <w:tcPr>
            <w:tcW w:w="8188" w:type="dxa"/>
            <w:vAlign w:val="center"/>
            <w:hideMark/>
          </w:tcPr>
          <w:p w:rsidR="000E5353" w:rsidRPr="000E5353" w:rsidRDefault="000E5353" w:rsidP="000E5353">
            <w:pPr>
              <w:jc w:val="center"/>
              <w:rPr>
                <w:rFonts w:eastAsia="Times-Roman"/>
                <w:i/>
                <w:sz w:val="24"/>
                <w:szCs w:val="24"/>
              </w:rPr>
            </w:pPr>
            <w:r w:rsidRPr="000E5353">
              <w:rPr>
                <w:rFonts w:eastAsia="Times-Roman"/>
                <w:position w:val="-30"/>
                <w:sz w:val="28"/>
                <w:szCs w:val="28"/>
              </w:rPr>
              <w:object w:dxaOrig="3480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pt;height:34.5pt" o:ole="">
                  <v:imagedata r:id="rId4" o:title=""/>
                </v:shape>
                <o:OLEObject Type="Embed" ProgID="Equation.3" ShapeID="_x0000_i1025" DrawAspect="Content" ObjectID="_1637167642" r:id="rId5"/>
              </w:object>
            </w:r>
            <w:r w:rsidRPr="000E5353">
              <w:rPr>
                <w:i/>
                <w:color w:val="000000"/>
                <w:sz w:val="24"/>
                <w:szCs w:val="24"/>
              </w:rPr>
              <w:t>,</w:t>
            </w:r>
          </w:p>
        </w:tc>
        <w:tc>
          <w:tcPr>
            <w:tcW w:w="1276" w:type="dxa"/>
            <w:vAlign w:val="center"/>
          </w:tcPr>
          <w:p w:rsidR="000E5353" w:rsidRPr="000E5353" w:rsidRDefault="000E5353" w:rsidP="000E5353">
            <w:pPr>
              <w:jc w:val="right"/>
              <w:rPr>
                <w:rFonts w:eastAsia="Times-Roman"/>
                <w:sz w:val="28"/>
                <w:szCs w:val="28"/>
              </w:rPr>
            </w:pPr>
          </w:p>
        </w:tc>
      </w:tr>
    </w:tbl>
    <w:p w:rsidR="000E5353" w:rsidRPr="000E5353" w:rsidRDefault="000E5353" w:rsidP="000E5353">
      <w:pPr>
        <w:autoSpaceDE w:val="0"/>
        <w:autoSpaceDN w:val="0"/>
        <w:adjustRightInd w:val="0"/>
        <w:spacing w:line="240" w:lineRule="auto"/>
        <w:ind w:firstLine="284"/>
        <w:rPr>
          <w:rFonts w:ascii="Times New Roman" w:eastAsia="Times-Roman" w:hAnsi="Times New Roman" w:cs="Times New Roman"/>
          <w:sz w:val="24"/>
          <w:szCs w:val="24"/>
          <w:lang w:val="ru-RU"/>
        </w:rPr>
      </w:pPr>
    </w:p>
    <w:p w:rsidR="000E5353" w:rsidRPr="000E5353" w:rsidRDefault="000E5353" w:rsidP="000E5353">
      <w:pPr>
        <w:autoSpaceDE w:val="0"/>
        <w:autoSpaceDN w:val="0"/>
        <w:adjustRightInd w:val="0"/>
        <w:spacing w:line="240" w:lineRule="auto"/>
        <w:ind w:firstLine="284"/>
        <w:rPr>
          <w:rFonts w:ascii="Times New Roman" w:eastAsia="Times-Roman" w:hAnsi="Times New Roman" w:cs="Times New Roman"/>
          <w:sz w:val="24"/>
          <w:szCs w:val="24"/>
          <w:lang w:val="ru-RU"/>
        </w:rPr>
      </w:pPr>
      <w:r w:rsidRPr="000E5353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где       </w:t>
      </w:r>
      <w:proofErr w:type="gramStart"/>
      <w:r w:rsidRPr="000E5353">
        <w:rPr>
          <w:rFonts w:ascii="Times New Roman" w:eastAsia="Times-Roman" w:hAnsi="Times New Roman" w:cs="Times New Roman"/>
          <w:i/>
          <w:sz w:val="24"/>
          <w:szCs w:val="24"/>
        </w:rPr>
        <w:t>I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>(</w:t>
      </w:r>
      <w:proofErr w:type="spellStart"/>
      <w:proofErr w:type="gramEnd"/>
      <w:r w:rsidRPr="000E5353">
        <w:rPr>
          <w:rFonts w:ascii="Times New Roman" w:eastAsia="Times-Roman" w:hAnsi="Times New Roman" w:cs="Times New Roman"/>
          <w:i/>
          <w:sz w:val="24"/>
          <w:szCs w:val="24"/>
        </w:rPr>
        <w:t>t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 xml:space="preserve">, </w:t>
      </w:r>
      <w:r w:rsidRPr="000E5353">
        <w:rPr>
          <w:rFonts w:ascii="Times New Roman" w:eastAsia="Times-Roman" w:hAnsi="Times New Roman" w:cs="Times New Roman"/>
          <w:i/>
          <w:sz w:val="24"/>
          <w:szCs w:val="24"/>
        </w:rPr>
        <w:t>t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vertAlign w:val="subscript"/>
          <w:lang w:val="ru-RU"/>
        </w:rPr>
        <w:t>0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 xml:space="preserve">) </w:t>
      </w:r>
      <w:r w:rsidRPr="000E5353">
        <w:rPr>
          <w:rFonts w:ascii="Times New Roman" w:eastAsia="Times-Roman" w:hAnsi="Times New Roman" w:cs="Times New Roman"/>
          <w:sz w:val="24"/>
          <w:szCs w:val="24"/>
          <w:lang w:val="ru-RU"/>
        </w:rPr>
        <w:t>– базисный индекс внутренней инфляции иностранной валюты;</w:t>
      </w:r>
    </w:p>
    <w:p w:rsidR="000E5353" w:rsidRPr="000E5353" w:rsidRDefault="000E5353" w:rsidP="000E5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 xml:space="preserve">     </w:t>
      </w:r>
      <w:proofErr w:type="gramStart"/>
      <w:r w:rsidRPr="000E5353">
        <w:rPr>
          <w:rFonts w:ascii="Times New Roman" w:eastAsia="Times-Roman" w:hAnsi="Times New Roman" w:cs="Times New Roman"/>
          <w:i/>
          <w:sz w:val="24"/>
          <w:szCs w:val="24"/>
        </w:rPr>
        <w:t>GJ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>(</w:t>
      </w:r>
      <w:proofErr w:type="spellStart"/>
      <w:proofErr w:type="gramEnd"/>
      <w:r w:rsidRPr="000E5353">
        <w:rPr>
          <w:rFonts w:ascii="Times New Roman" w:eastAsia="Times-Roman" w:hAnsi="Times New Roman" w:cs="Times New Roman"/>
          <w:i/>
          <w:sz w:val="24"/>
          <w:szCs w:val="24"/>
        </w:rPr>
        <w:t>t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 xml:space="preserve">, </w:t>
      </w:r>
      <w:r w:rsidRPr="000E5353">
        <w:rPr>
          <w:rFonts w:ascii="Times New Roman" w:eastAsia="Times-Roman" w:hAnsi="Times New Roman" w:cs="Times New Roman"/>
          <w:i/>
          <w:sz w:val="24"/>
          <w:szCs w:val="24"/>
        </w:rPr>
        <w:t>t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vertAlign w:val="subscript"/>
          <w:lang w:val="ru-RU"/>
        </w:rPr>
        <w:t>0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 xml:space="preserve">) </w:t>
      </w:r>
      <w:r w:rsidRPr="000E5353">
        <w:rPr>
          <w:rFonts w:ascii="Times New Roman" w:eastAsia="Times-Roman" w:hAnsi="Times New Roman" w:cs="Times New Roman"/>
          <w:sz w:val="24"/>
          <w:szCs w:val="24"/>
          <w:lang w:val="ru-RU"/>
        </w:rPr>
        <w:t>– базисный индекс общей инфляции в рублевом выражении;</w:t>
      </w:r>
    </w:p>
    <w:p w:rsidR="000E5353" w:rsidRPr="000E5353" w:rsidRDefault="000E5353" w:rsidP="000E5353">
      <w:pPr>
        <w:spacing w:line="240" w:lineRule="auto"/>
        <w:ind w:lef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E5353">
        <w:rPr>
          <w:rFonts w:ascii="Times New Roman" w:eastAsia="Times-Roman" w:hAnsi="Times New Roman" w:cs="Times New Roman"/>
          <w:i/>
          <w:sz w:val="24"/>
          <w:szCs w:val="24"/>
        </w:rPr>
        <w:t>GJ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vertAlign w:val="subscript"/>
          <w:lang w:val="ru-RU"/>
        </w:rPr>
        <w:t>$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0E5353">
        <w:rPr>
          <w:rFonts w:ascii="Times New Roman" w:eastAsia="Times-Roman" w:hAnsi="Times New Roman" w:cs="Times New Roman"/>
          <w:i/>
          <w:sz w:val="24"/>
          <w:szCs w:val="24"/>
        </w:rPr>
        <w:t>t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 xml:space="preserve">, </w:t>
      </w:r>
      <w:r w:rsidRPr="000E5353">
        <w:rPr>
          <w:rFonts w:ascii="Times New Roman" w:eastAsia="Times-Roman" w:hAnsi="Times New Roman" w:cs="Times New Roman"/>
          <w:i/>
          <w:sz w:val="24"/>
          <w:szCs w:val="24"/>
        </w:rPr>
        <w:t>t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vertAlign w:val="subscript"/>
          <w:lang w:val="ru-RU"/>
        </w:rPr>
        <w:t>0</w:t>
      </w:r>
      <w:r w:rsidRPr="000E5353">
        <w:rPr>
          <w:rFonts w:ascii="Times New Roman" w:eastAsia="Times-Roman" w:hAnsi="Times New Roman" w:cs="Times New Roman"/>
          <w:sz w:val="24"/>
          <w:szCs w:val="24"/>
          <w:lang w:val="ru-RU"/>
        </w:rPr>
        <w:t xml:space="preserve">) 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 xml:space="preserve">– </w:t>
      </w:r>
      <w:r w:rsidRPr="000E5353">
        <w:rPr>
          <w:rFonts w:ascii="Times New Roman" w:eastAsia="Times-Roman" w:hAnsi="Times New Roman" w:cs="Times New Roman"/>
          <w:sz w:val="24"/>
          <w:szCs w:val="24"/>
          <w:lang w:val="ru-RU"/>
        </w:rPr>
        <w:t>базисный индекс общей инфляции за рубежом в иностранной валюте;</w:t>
      </w:r>
    </w:p>
    <w:p w:rsidR="000E5353" w:rsidRPr="000E5353" w:rsidRDefault="000E5353" w:rsidP="000E5353">
      <w:pPr>
        <w:spacing w:line="240" w:lineRule="auto"/>
        <w:ind w:lef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0E5353">
        <w:rPr>
          <w:rFonts w:ascii="Times New Roman" w:eastAsia="Times-Roman" w:hAnsi="Times New Roman" w:cs="Times New Roman"/>
          <w:i/>
          <w:sz w:val="24"/>
          <w:szCs w:val="24"/>
        </w:rPr>
        <w:t>GJ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vertAlign w:val="subscript"/>
        </w:rPr>
        <w:t>x</w:t>
      </w:r>
      <w:proofErr w:type="spellEnd"/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>(</w:t>
      </w:r>
      <w:proofErr w:type="spellStart"/>
      <w:proofErr w:type="gramEnd"/>
      <w:r w:rsidRPr="000E5353">
        <w:rPr>
          <w:rFonts w:ascii="Times New Roman" w:eastAsia="Times-Roman" w:hAnsi="Times New Roman" w:cs="Times New Roman"/>
          <w:i/>
          <w:sz w:val="24"/>
          <w:szCs w:val="24"/>
        </w:rPr>
        <w:t>t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 xml:space="preserve">, </w:t>
      </w:r>
      <w:r w:rsidRPr="000E5353">
        <w:rPr>
          <w:rFonts w:ascii="Times New Roman" w:eastAsia="Times-Roman" w:hAnsi="Times New Roman" w:cs="Times New Roman"/>
          <w:i/>
          <w:sz w:val="24"/>
          <w:szCs w:val="24"/>
        </w:rPr>
        <w:t>t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vertAlign w:val="subscript"/>
          <w:lang w:val="ru-RU"/>
        </w:rPr>
        <w:t xml:space="preserve">0 </w:t>
      </w:r>
      <w:r w:rsidRPr="000E5353">
        <w:rPr>
          <w:rFonts w:ascii="Times New Roman" w:eastAsia="Times-Roman" w:hAnsi="Times New Roman" w:cs="Times New Roman"/>
          <w:i/>
          <w:sz w:val="24"/>
          <w:szCs w:val="24"/>
          <w:lang w:val="ru-RU"/>
        </w:rPr>
        <w:t>)</w:t>
      </w:r>
      <w:r w:rsidRPr="000E5353">
        <w:rPr>
          <w:rFonts w:ascii="Times New Roman" w:eastAsia="Times-Roman" w:hAnsi="Times New Roman" w:cs="Times New Roman"/>
          <w:sz w:val="24"/>
          <w:szCs w:val="24"/>
          <w:lang w:val="ru-RU"/>
        </w:rPr>
        <w:t>– базисный индекс курса рубля к иностранной валюте.</w:t>
      </w:r>
    </w:p>
    <w:p w:rsidR="000E5353" w:rsidRPr="000E5353" w:rsidRDefault="000E5353" w:rsidP="000E535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Значение IRR определяются по </w:t>
      </w:r>
      <w:proofErr w:type="spellStart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>дефлированным</w:t>
      </w:r>
      <w:proofErr w:type="spellEnd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денежным потокам: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для рублевого потока, </w:t>
      </w:r>
      <w:proofErr w:type="spellStart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>дефлированного</w:t>
      </w:r>
      <w:proofErr w:type="spellEnd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индексам внутренней инфляции (строка [18]);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для долларового потока, </w:t>
      </w:r>
      <w:proofErr w:type="spellStart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>дефлированного</w:t>
      </w:r>
      <w:proofErr w:type="spellEnd"/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индексам внешней инфляции (строка [21]).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t>5. Для дисконтирования денежных потоков (строки [16] и [19]) необходимо их значение умножить на соответствующий коэффициент дисконта при ставке 18% (можно использовать финансовые таблицы определения настоящей стоимости денежного потока).</w:t>
      </w:r>
    </w:p>
    <w:p w:rsidR="000E5353" w:rsidRPr="000E5353" w:rsidRDefault="000E5353" w:rsidP="000E5353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53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6. В строках [17] и [20] определяются суммарные значения чистого дисконтированного дохода в рублях и долларах (посредством деления на валютный курс).</w:t>
      </w:r>
    </w:p>
    <w:p w:rsidR="000E5353" w:rsidRPr="000E5353" w:rsidRDefault="000E5353">
      <w:pPr>
        <w:rPr>
          <w:lang w:val="ru-RU"/>
        </w:rPr>
      </w:pPr>
      <w:bookmarkStart w:id="0" w:name="_GoBack"/>
      <w:bookmarkEnd w:id="0"/>
    </w:p>
    <w:sectPr w:rsidR="000E5353" w:rsidRPr="000E5353" w:rsidSect="00E4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6D"/>
    <w:rsid w:val="000E5353"/>
    <w:rsid w:val="00810D82"/>
    <w:rsid w:val="00823E14"/>
    <w:rsid w:val="00DB2E6D"/>
    <w:rsid w:val="00E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EC38A"/>
  <w15:chartTrackingRefBased/>
  <w15:docId w15:val="{CF01DE68-EBB3-45EC-85D4-A4B43B7E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353"/>
    <w:pPr>
      <w:spacing w:line="240" w:lineRule="auto"/>
      <w:ind w:firstLine="284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535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 User</dc:creator>
  <cp:keywords/>
  <dc:description/>
  <cp:lastModifiedBy>Gues User</cp:lastModifiedBy>
  <cp:revision>2</cp:revision>
  <dcterms:created xsi:type="dcterms:W3CDTF">2019-12-06T13:01:00Z</dcterms:created>
  <dcterms:modified xsi:type="dcterms:W3CDTF">2019-12-06T13:01:00Z</dcterms:modified>
</cp:coreProperties>
</file>