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75CB" w:rsidRDefault="002C75CB" w:rsidP="002C75C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75CB">
        <w:rPr>
          <w:rFonts w:ascii="Times New Roman" w:hAnsi="Times New Roman" w:cs="Times New Roman"/>
          <w:b/>
          <w:sz w:val="48"/>
          <w:szCs w:val="48"/>
        </w:rPr>
        <w:t>Финансовый Менеджмент</w:t>
      </w:r>
    </w:p>
    <w:p w:rsidR="002C75CB" w:rsidRPr="002C75CB" w:rsidRDefault="002C75CB" w:rsidP="002C75C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75CB">
        <w:rPr>
          <w:rFonts w:ascii="Times New Roman" w:hAnsi="Times New Roman" w:cs="Times New Roman"/>
          <w:b/>
          <w:sz w:val="48"/>
          <w:szCs w:val="48"/>
        </w:rPr>
        <w:t>Тема: «Концепция компромисса между риском и доходом»</w:t>
      </w:r>
    </w:p>
    <w:sectPr w:rsidR="002C75CB" w:rsidRPr="002C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5CB"/>
    <w:rsid w:val="002C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2020-01-07T17:55:00Z</dcterms:created>
  <dcterms:modified xsi:type="dcterms:W3CDTF">2020-01-07T17:57:00Z</dcterms:modified>
</cp:coreProperties>
</file>