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A1" w:rsidRDefault="00595FD4" w:rsidP="00757AA1">
      <w:pPr>
        <w:spacing w:before="60" w:after="60"/>
        <w:jc w:val="center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6A53E1">
        <w:rPr>
          <w:rFonts w:ascii="Times New Roman" w:hAnsi="Times New Roman" w:cs="Times New Roman"/>
          <w:b/>
          <w:color w:val="000000"/>
          <w:sz w:val="28"/>
          <w:szCs w:val="19"/>
        </w:rPr>
        <w:t>Список вопросов к экзамену по предмету Автоматизированные системы управления качеством</w:t>
      </w:r>
      <w:r w:rsidR="007A6FFB" w:rsidRPr="007A6FFB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</w:p>
    <w:p w:rsidR="00757AA1" w:rsidRDefault="00757AA1" w:rsidP="00757AA1">
      <w:pPr>
        <w:spacing w:before="60" w:after="60"/>
        <w:rPr>
          <w:sz w:val="18"/>
          <w:szCs w:val="18"/>
        </w:rPr>
      </w:pPr>
    </w:p>
    <w:p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Описание динамических свой</w:t>
      </w:r>
      <w:proofErr w:type="gramStart"/>
      <w:r w:rsidRPr="00595FD4">
        <w:rPr>
          <w:sz w:val="28"/>
          <w:szCs w:val="18"/>
        </w:rPr>
        <w:t>ств зв</w:t>
      </w:r>
      <w:proofErr w:type="gramEnd"/>
      <w:r w:rsidRPr="00595FD4">
        <w:rPr>
          <w:sz w:val="28"/>
          <w:szCs w:val="18"/>
        </w:rPr>
        <w:t>еньев АСУ с помощью дифференциальных уравнений.</w:t>
      </w:r>
    </w:p>
    <w:p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Частотные характеристики динамических звеньев АСУ.</w:t>
      </w:r>
    </w:p>
    <w:p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Реакция динамических звеньев на импульсное воздействие. Импульсная характеристика.</w:t>
      </w:r>
    </w:p>
    <w:p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 xml:space="preserve">Реакция динамических звеньев на единичный скачок. Переходная </w:t>
      </w:r>
      <w:bookmarkStart w:id="0" w:name="_GoBack"/>
      <w:bookmarkEnd w:id="0"/>
      <w:r w:rsidRPr="00595FD4">
        <w:rPr>
          <w:sz w:val="28"/>
          <w:szCs w:val="18"/>
        </w:rPr>
        <w:t>характеристика.</w:t>
      </w:r>
    </w:p>
    <w:p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Связь между импульсной и переходной характеристиками.</w:t>
      </w:r>
    </w:p>
    <w:p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Типовые схемы соединения звеньев АСУ. Последовательное и параллельное соединение. Информационная и вещественная обратная связь и ее влияния на передаточные характеристики динамических звеньев.</w:t>
      </w:r>
    </w:p>
    <w:p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Пропорциональные звенья в АСУ. Усилительные звенья в АСУ.</w:t>
      </w:r>
    </w:p>
    <w:p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Апериодические (релаксационные) звенья. Примеры релаксационных звеньев</w:t>
      </w:r>
    </w:p>
    <w:p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 xml:space="preserve">Колебательные звенья в АСУ. Примеры колебательных звеньев </w:t>
      </w:r>
    </w:p>
    <w:p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Интегрирующие звенья в АСУ. Примеры звеньев</w:t>
      </w:r>
    </w:p>
    <w:p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Дифференцирующие звенья в АСУ. Примеры звеньев.</w:t>
      </w:r>
    </w:p>
    <w:p w:rsidR="00757AA1" w:rsidRPr="00595FD4" w:rsidRDefault="00757AA1" w:rsidP="00595FD4">
      <w:pPr>
        <w:pStyle w:val="a3"/>
        <w:numPr>
          <w:ilvl w:val="0"/>
          <w:numId w:val="3"/>
        </w:numPr>
        <w:spacing w:before="60" w:after="60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595FD4">
        <w:rPr>
          <w:rFonts w:ascii="Times New Roman" w:eastAsia="Times New Roman" w:hAnsi="Times New Roman" w:cs="Times New Roman"/>
          <w:sz w:val="28"/>
          <w:szCs w:val="18"/>
          <w:lang w:eastAsia="zh-CN"/>
        </w:rPr>
        <w:t>Звенья с задержками входных воздействий. Примеры звеньев.</w:t>
      </w:r>
    </w:p>
    <w:p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>Классификация погрешностей (12 видов), связанных с цифровой обработкой сигналов в АСУ.</w:t>
      </w:r>
    </w:p>
    <w:p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 xml:space="preserve">Дискретизация сигнала во времени. Гребенчатые функции. Спектр </w:t>
      </w:r>
      <w:proofErr w:type="spellStart"/>
      <w:r w:rsidRPr="00595FD4">
        <w:rPr>
          <w:rFonts w:ascii="Times New Roman" w:hAnsi="Times New Roman" w:cs="Times New Roman"/>
          <w:sz w:val="28"/>
          <w:szCs w:val="19"/>
        </w:rPr>
        <w:t>дискретизированного</w:t>
      </w:r>
      <w:proofErr w:type="spellEnd"/>
      <w:r w:rsidRPr="00595FD4">
        <w:rPr>
          <w:rFonts w:ascii="Times New Roman" w:hAnsi="Times New Roman" w:cs="Times New Roman"/>
          <w:sz w:val="28"/>
          <w:szCs w:val="19"/>
        </w:rPr>
        <w:t xml:space="preserve"> во времени сигнала. Эффект наложения частот (</w:t>
      </w:r>
      <w:proofErr w:type="spellStart"/>
      <w:r w:rsidRPr="00595FD4">
        <w:rPr>
          <w:rFonts w:ascii="Times New Roman" w:hAnsi="Times New Roman" w:cs="Times New Roman"/>
          <w:sz w:val="28"/>
          <w:szCs w:val="19"/>
        </w:rPr>
        <w:t>элайзинг</w:t>
      </w:r>
      <w:proofErr w:type="spellEnd"/>
      <w:r w:rsidRPr="00595FD4">
        <w:rPr>
          <w:rFonts w:ascii="Times New Roman" w:hAnsi="Times New Roman" w:cs="Times New Roman"/>
          <w:sz w:val="28"/>
          <w:szCs w:val="19"/>
        </w:rPr>
        <w:t xml:space="preserve">) и методы его устранения. </w:t>
      </w:r>
      <w:proofErr w:type="spellStart"/>
      <w:r w:rsidRPr="00595FD4">
        <w:rPr>
          <w:rFonts w:ascii="Times New Roman" w:hAnsi="Times New Roman" w:cs="Times New Roman"/>
          <w:sz w:val="28"/>
          <w:szCs w:val="19"/>
        </w:rPr>
        <w:t>Антиэлайзинговые</w:t>
      </w:r>
      <w:proofErr w:type="spellEnd"/>
      <w:r w:rsidRPr="00595FD4">
        <w:rPr>
          <w:rFonts w:ascii="Times New Roman" w:hAnsi="Times New Roman" w:cs="Times New Roman"/>
          <w:sz w:val="28"/>
          <w:szCs w:val="19"/>
        </w:rPr>
        <w:t xml:space="preserve"> фильтры. Выбор частоты дискретизации при обработке непрерывных сигналов с ограниченным спектром. Цифровые системы с постоянным и адаптивным выбором частоты дискретизации.</w:t>
      </w:r>
    </w:p>
    <w:p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 xml:space="preserve">Дискретизация сигналов по уровню. Шумы квантования. Выбор разрядности АЦП, каналов ввода-вывода и форматов представления чисел при их обработке в центральном процессоре. </w:t>
      </w:r>
      <w:proofErr w:type="gramStart"/>
      <w:r w:rsidRPr="00595FD4">
        <w:rPr>
          <w:rFonts w:ascii="Times New Roman" w:hAnsi="Times New Roman" w:cs="Times New Roman"/>
          <w:sz w:val="28"/>
          <w:szCs w:val="19"/>
        </w:rPr>
        <w:t xml:space="preserve">Использование функциональных АЦП и метода компрессии сигнала по амплитуде в цифровых системах обработки информации. </w:t>
      </w:r>
      <w:proofErr w:type="gramEnd"/>
    </w:p>
    <w:p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>Характерные искажения сигналов, связанные с конечностью времени реализации обрабатываемой выборки. Краевые эффекты. Основные методы уменьшения влияния краевых эффектов на результаты измерений и испытаний.</w:t>
      </w:r>
    </w:p>
    <w:p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 xml:space="preserve">Апертурное время АЦП и его влияние на частотные характеристики </w:t>
      </w:r>
      <w:proofErr w:type="spellStart"/>
      <w:r w:rsidRPr="00595FD4">
        <w:rPr>
          <w:rFonts w:ascii="Times New Roman" w:hAnsi="Times New Roman" w:cs="Times New Roman"/>
          <w:sz w:val="28"/>
          <w:szCs w:val="19"/>
        </w:rPr>
        <w:t>дискретизированного</w:t>
      </w:r>
      <w:proofErr w:type="spellEnd"/>
      <w:r w:rsidRPr="00595FD4">
        <w:rPr>
          <w:rFonts w:ascii="Times New Roman" w:hAnsi="Times New Roman" w:cs="Times New Roman"/>
          <w:sz w:val="28"/>
          <w:szCs w:val="19"/>
        </w:rPr>
        <w:t xml:space="preserve"> сигнала. Пути уменьшения величины апертурного времени. Устройства выборки и хранения (УВХ) и их </w:t>
      </w:r>
      <w:r w:rsidRPr="00595FD4">
        <w:rPr>
          <w:rFonts w:ascii="Times New Roman" w:hAnsi="Times New Roman" w:cs="Times New Roman"/>
          <w:sz w:val="28"/>
          <w:szCs w:val="19"/>
        </w:rPr>
        <w:lastRenderedPageBreak/>
        <w:t>использование в ИВК. Основные технические показатели УВХ и схемотехнические методы их улучшения.</w:t>
      </w:r>
    </w:p>
    <w:p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>Искажения цифровой информации, связанные с дрожанием фазы сигнала (</w:t>
      </w:r>
      <w:proofErr w:type="spellStart"/>
      <w:r w:rsidRPr="00595FD4">
        <w:rPr>
          <w:rFonts w:ascii="Times New Roman" w:hAnsi="Times New Roman" w:cs="Times New Roman"/>
          <w:sz w:val="28"/>
          <w:szCs w:val="19"/>
        </w:rPr>
        <w:t>jitter</w:t>
      </w:r>
      <w:proofErr w:type="spellEnd"/>
      <w:r w:rsidRPr="00595FD4">
        <w:rPr>
          <w:rFonts w:ascii="Times New Roman" w:hAnsi="Times New Roman" w:cs="Times New Roman"/>
          <w:sz w:val="28"/>
          <w:szCs w:val="19"/>
        </w:rPr>
        <w:t xml:space="preserve">). Методы уменьшения </w:t>
      </w:r>
      <w:proofErr w:type="spellStart"/>
      <w:r w:rsidRPr="00595FD4">
        <w:rPr>
          <w:rFonts w:ascii="Times New Roman" w:hAnsi="Times New Roman" w:cs="Times New Roman"/>
          <w:sz w:val="28"/>
          <w:szCs w:val="19"/>
        </w:rPr>
        <w:t>джиттера</w:t>
      </w:r>
      <w:proofErr w:type="spellEnd"/>
      <w:r w:rsidRPr="00595FD4">
        <w:rPr>
          <w:rFonts w:ascii="Times New Roman" w:hAnsi="Times New Roman" w:cs="Times New Roman"/>
          <w:sz w:val="28"/>
          <w:szCs w:val="19"/>
        </w:rPr>
        <w:t>.</w:t>
      </w:r>
    </w:p>
    <w:p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>Основные методы восстановления непрерывного сигнала по цифровой последовательности. Согласованная фильтрация. Использование полиномов n-й степени. Интерполяция и экстраполяция сигналов. Вставки отсчетных значений (</w:t>
      </w:r>
      <w:proofErr w:type="spellStart"/>
      <w:r w:rsidRPr="00595FD4">
        <w:rPr>
          <w:rFonts w:ascii="Times New Roman" w:hAnsi="Times New Roman" w:cs="Times New Roman"/>
          <w:sz w:val="28"/>
          <w:szCs w:val="19"/>
        </w:rPr>
        <w:t>экспандирование</w:t>
      </w:r>
      <w:proofErr w:type="spellEnd"/>
      <w:r w:rsidRPr="00595FD4">
        <w:rPr>
          <w:rFonts w:ascii="Times New Roman" w:hAnsi="Times New Roman" w:cs="Times New Roman"/>
          <w:sz w:val="28"/>
          <w:szCs w:val="19"/>
        </w:rPr>
        <w:t xml:space="preserve"> по частоте). Примеры схем, реализующие интерполяцию нулевого и первого порядка.</w:t>
      </w:r>
    </w:p>
    <w:p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 xml:space="preserve">Сигналы с ограниченным спектром. Теорема Котельникова. Выбор спектрального окна. Практические методы восстановления непрерывного сигнала (использование пассивных и активных фильтров). Невозможность точного восстановления сигнала в режиме наложения частот. </w:t>
      </w:r>
    </w:p>
    <w:p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>Цифро-аналоговые преобразователи. Основные виды и схемы построения ЦАП. Функциональные ЦАП. Примеры использования ЦАП в автоматизированных аналого-цифровых системах управления.</w:t>
      </w:r>
    </w:p>
    <w:p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>Аналого-цифровые преобразователи. Основные виды и схемы построения АЦП. Примеры использования АЦП в автоматизированных системах управления качеством.</w:t>
      </w:r>
    </w:p>
    <w:p w:rsidR="00757AA1" w:rsidRPr="00595FD4" w:rsidRDefault="00757AA1" w:rsidP="00757AA1">
      <w:pPr>
        <w:pStyle w:val="a3"/>
        <w:spacing w:before="60" w:after="60"/>
        <w:ind w:left="283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</w:p>
    <w:p w:rsidR="00757AA1" w:rsidRPr="00595FD4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>Пояснения к выполнению письменных заданий по экзамену</w:t>
      </w:r>
    </w:p>
    <w:p w:rsidR="00757AA1" w:rsidRPr="00595FD4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>1. Каждое задание выполняется на отдельном стандартном листе бумаги формата А</w:t>
      </w:r>
      <w:proofErr w:type="gramStart"/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>4</w:t>
      </w:r>
      <w:proofErr w:type="gramEnd"/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>.</w:t>
      </w:r>
    </w:p>
    <w:p w:rsidR="00757AA1" w:rsidRPr="00595FD4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>2. В колонтитуле каждого листа впечатывается фамилия, имя, отчество студента, группа, учебный год, название предмета.</w:t>
      </w:r>
    </w:p>
    <w:p w:rsidR="00757AA1" w:rsidRPr="00595FD4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>3. В рабочем поле листа впечатывается вопрос (задание).</w:t>
      </w:r>
    </w:p>
    <w:p w:rsidR="00757AA1" w:rsidRPr="00595FD4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>4. Ответ на вопрос (задание) выполняется от руки в виде развернутого плана ответа. Типовой объем ответа не должен превышать 1 – 2 страниц стандартного листа А</w:t>
      </w:r>
      <w:proofErr w:type="gramStart"/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>4</w:t>
      </w:r>
      <w:proofErr w:type="gramEnd"/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(с двух сторон). </w:t>
      </w:r>
    </w:p>
    <w:p w:rsidR="00757AA1" w:rsidRPr="00595FD4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>5. Особое внимание должно уделяться схемам, графикам, формулам. Схемы должны выполняться с использованием линейки.</w:t>
      </w:r>
    </w:p>
    <w:p w:rsidR="00757AA1" w:rsidRPr="00595FD4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6. Рекомендуемый объем ответа – одна страница. </w:t>
      </w:r>
    </w:p>
    <w:p w:rsidR="00757AA1" w:rsidRPr="00536658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36658">
        <w:rPr>
          <w:rFonts w:ascii="Times New Roman" w:eastAsia="Times New Roman" w:hAnsi="Times New Roman" w:cs="Times New Roman"/>
          <w:sz w:val="19"/>
          <w:szCs w:val="19"/>
          <w:lang w:eastAsia="ru-RU"/>
        </w:rPr>
        <w:t>7. Рекомендуется использовать обе страницы стандартного листа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4</w:t>
      </w:r>
      <w:proofErr w:type="gramEnd"/>
      <w:r w:rsidRPr="00536658">
        <w:rPr>
          <w:rFonts w:ascii="Times New Roman" w:eastAsia="Times New Roman" w:hAnsi="Times New Roman" w:cs="Times New Roman"/>
          <w:sz w:val="19"/>
          <w:szCs w:val="19"/>
          <w:lang w:eastAsia="ru-RU"/>
        </w:rPr>
        <w:t>. На одном листе с разных сторон можно (рекомендуется) давать ответы на два разных вопроса.</w:t>
      </w:r>
    </w:p>
    <w:p w:rsidR="005938E8" w:rsidRDefault="00595FD4"/>
    <w:sectPr w:rsidR="0059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060"/>
    <w:multiLevelType w:val="hybridMultilevel"/>
    <w:tmpl w:val="79C01610"/>
    <w:lvl w:ilvl="0" w:tplc="0EFA118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4EEE"/>
    <w:multiLevelType w:val="hybridMultilevel"/>
    <w:tmpl w:val="99EC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7125A"/>
    <w:multiLevelType w:val="hybridMultilevel"/>
    <w:tmpl w:val="5C7A14F8"/>
    <w:lvl w:ilvl="0" w:tplc="AE72CC1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1"/>
    <w:rsid w:val="003C3753"/>
    <w:rsid w:val="0046607C"/>
    <w:rsid w:val="00595FD4"/>
    <w:rsid w:val="00631F93"/>
    <w:rsid w:val="00757AA1"/>
    <w:rsid w:val="007A6FFB"/>
    <w:rsid w:val="00844E32"/>
    <w:rsid w:val="00D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A1"/>
    <w:pPr>
      <w:ind w:left="720"/>
      <w:contextualSpacing/>
    </w:pPr>
    <w:rPr>
      <w:rFonts w:eastAsiaTheme="minorEastAsia"/>
    </w:rPr>
  </w:style>
  <w:style w:type="paragraph" w:customStyle="1" w:styleId="32">
    <w:name w:val="Основной текст 32"/>
    <w:basedOn w:val="a"/>
    <w:rsid w:val="00757A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A1"/>
    <w:pPr>
      <w:ind w:left="720"/>
      <w:contextualSpacing/>
    </w:pPr>
    <w:rPr>
      <w:rFonts w:eastAsiaTheme="minorEastAsia"/>
    </w:rPr>
  </w:style>
  <w:style w:type="paragraph" w:customStyle="1" w:styleId="32">
    <w:name w:val="Основной текст 32"/>
    <w:basedOn w:val="a"/>
    <w:rsid w:val="00757A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2020-09-15T07:17:00Z</dcterms:created>
  <dcterms:modified xsi:type="dcterms:W3CDTF">2020-09-15T07:54:00Z</dcterms:modified>
</cp:coreProperties>
</file>