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f4ac3ad4049419d" /></Relationships>
</file>

<file path=word/document.xml><?xml version="1.0" encoding="utf-8"?>
<w:document xmlns:w="http://schemas.openxmlformats.org/wordprocessingml/2006/main">
  <w:body>
    <w:p>
      <w:pPr>
        <w:pStyle w:val="ticketHeading1"/>
        <w:jc w:val="center"/>
      </w:pPr>
      <w:r>
        <w:t>Билет №27</w:t>
      </w:r>
    </w:p>
    <w:p>
      <w:pPr>
        <w:pStyle w:val="catHeading1"/>
        <w:jc w:val="center"/>
      </w:pPr>
      <w:r>
        <w:t/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16. Анализ финансового состояния позволяет исследовать хозяйствующий субъект как целостную систему, обеспечивающую исследуемый объект и заинтересованных в исследовании лиц (потребителей) достоверной аналитической информацией о нем. 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Верно.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Неверно.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 xml:space="preserve">20. Базируясь на данных бухгалтерского учета и вероятностных оценках будущих факторов хозяйственной жизни, финансовый анализ является информационной базой для принятия управленческих решений. 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Верно.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Неверно.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22. Анализ, позволяющий определить абсолютные и относительные изменения различных статей отчетности по сравнению с предшествующим периодом, называется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Вертикальным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Трендовым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Горизонтальным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4) сравнительным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>
      <w:pPr>
        <w:pStyle w:val="catHeading1"/>
        <w:jc w:val="center"/>
      </w:pPr>
      <w:r>
        <w:t/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36. К учетным источникам относятся …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бухгалтерский учет и отчетность;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статистический учет и отчетность;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налоговый учет и отчетность;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4) </w:t>
      </w:r>
      <w:r w:rsidRPr="00CA7E89" w:rsidR="00D4742E">
        <w:rPr>
          <w:rFonts w:ascii="Times New Roman" w:hAnsi="Times New Roman" w:cs="Times New Roman"/>
        </w:rPr>
        <w:t>коммерческий учет и отчетность.</w:t>
      </w:r>
    </w:p>
    <w:p w:rsidRPr="00CA7E89" w:rsidR="00D4742E" w:rsidP="00CA7E89" w:rsidRDefault="00D4742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47. Пассив баланса состоит из ________________ разделов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Пяти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Двух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Четырех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>трех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>48. К активам предприятия относят: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основные средства;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незавершенное производство;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кредиторская задолженность;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4) целевое финансирование и поступления.</w:t>
      </w:r>
    </w:p>
    <w:p w:rsidRPr="00CA7E89" w:rsidR="00580568" w:rsidP="00CA7E89" w:rsidRDefault="00580568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Pr="00CA7E89" w:rsidR="00DD64B6" w:rsidP="00CA7E89" w:rsidRDefault="00DD64B6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55. В состав прочих доходов входят:</w:t>
      </w:r>
    </w:p>
    <w:p w:rsidRPr="00CA7E89" w:rsidR="00DD64B6" w:rsidP="00CA7E89" w:rsidRDefault="00DD64B6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Доходы, полученные от совместной деятельности</w:t>
      </w:r>
    </w:p>
    <w:p w:rsidRPr="00CA7E89" w:rsidR="00DD64B6" w:rsidP="00CA7E89" w:rsidRDefault="00DD64B6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Положительные курсовые разницы</w:t>
      </w:r>
    </w:p>
    <w:p w:rsidRPr="00CA7E89" w:rsidR="00DD64B6" w:rsidP="00CA7E89" w:rsidRDefault="00DD64B6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Поступления от продажи основных средств</w:t>
      </w:r>
    </w:p>
    <w:p w:rsidRPr="00CA7E89" w:rsidR="00DD64B6" w:rsidP="00CA7E89" w:rsidRDefault="00DD64B6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Сдача имущества в аренду</w:t>
      </w:r>
    </w:p>
    <w:p w:rsidRPr="00CA7E89" w:rsidR="00DD64B6" w:rsidP="00CA7E89" w:rsidRDefault="00DD64B6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Pr="00CA7E89" w:rsidR="00DD64B6" w:rsidP="00CA7E89" w:rsidRDefault="00DD64B6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>57. Величина полученной предприятием и оставшейся нераспределенной в течение отчетного года чистой прибыли выражается в изменении величины его собственного капитала за данный период:</w:t>
      </w:r>
    </w:p>
    <w:p w:rsidRPr="00CA7E89" w:rsidR="00DD64B6" w:rsidP="00CA7E89" w:rsidRDefault="00DD64B6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Да</w:t>
      </w:r>
    </w:p>
    <w:p w:rsidRPr="00CA7E89" w:rsidR="00DD64B6" w:rsidP="00CA7E89" w:rsidRDefault="00DD64B6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Нет</w:t>
      </w:r>
    </w:p>
    <w:p w:rsidRPr="00CA7E89" w:rsidR="00DD64B6" w:rsidP="00CA7E89" w:rsidRDefault="00DD64B6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>
      <w:pPr>
        <w:pStyle w:val="catHeading1"/>
        <w:jc w:val="center"/>
      </w:pPr>
      <w:r>
        <w:t/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71. Увеличение доли собственных средств способствует ________________ предприятия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повышению ликвидности баланса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ускорению оборачиваемости средств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повышению платежеспособности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усилению финансовой устойчивости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72. Если соотношение основных средств и собственного капитала больше единицы, то: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предприятие имеет собственные оборотные средства;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часть основных средств финансируется за счет задолженности;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предприятие обладает финансовой устойчивостью.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>75. Абсолютная устойчивость финансового состояния может быть при условии: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Величина запасов больше величины собственных оборотных средств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Величина запасов меньше величины собственных оборотных средств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Величина запасов меньше величины собственных оборотных средств и кредитов банка под товарно-материальные ценности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77. Коэффициент маневренности (мобильности) показывает: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Долю собственного капитала, инвестированного в оборотные средства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Какая часть собственных оборотных средств финансируется за счет собственного капитала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Наличие у предприятия собственных оборотных средств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</w:p>
    <w:p w:rsidRPr="00CA7E89" w:rsidR="00325A28" w:rsidP="00CA7E89" w:rsidRDefault="00325A28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93. При увеличении размера собственных средств и неизменных других параметрах, эффект финансового рычага будет:</w:t>
      </w:r>
    </w:p>
    <w:p w:rsidRPr="00CA7E89" w:rsidR="00325A28" w:rsidP="00CA7E89" w:rsidRDefault="00325A28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а) Увеличиваться;</w:t>
      </w:r>
    </w:p>
    <w:p w:rsidRPr="00CA7E89" w:rsidR="00325A28" w:rsidP="00CA7E89" w:rsidRDefault="00325A28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б) Уменьшаться;</w:t>
      </w:r>
    </w:p>
    <w:p w:rsidRPr="00CA7E89" w:rsidR="00325A28" w:rsidP="00CA7E89" w:rsidRDefault="00325A28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в) Не измениться;</w:t>
      </w:r>
    </w:p>
    <w:p w:rsidRPr="00CA7E89" w:rsidR="00D4742E" w:rsidP="00CA7E89" w:rsidRDefault="00325A28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г) Станет отрицательным.</w:t>
      </w:r>
    </w:p>
    <w:p w:rsidRPr="00CA7E89" w:rsidR="00325A28" w:rsidP="00CA7E89" w:rsidRDefault="00325A28">
      <w:pPr>
        <w:ind w:firstLine="709"/>
        <w:rPr>
          <w:rFonts w:ascii="Times New Roman" w:hAnsi="Times New Roman" w:cs="Times New Roman"/>
        </w:rPr>
      </w:pP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>94. Что произойдет, если ставка по займам превысит рентабельность капитала?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а) эффект финансового рычага будет положительный;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б) эффект финансового рычага будет отрицательный;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в) Ничего не произойдет;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г) Повысится прибыль предприятия.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</w:p>
    <w:p>
      <w:pPr>
        <w:pStyle w:val="catHeading1"/>
        <w:jc w:val="center"/>
      </w:pPr>
      <w:r>
        <w:t/>
      </w:r>
    </w:p>
    <w:p w:rsidRPr="00CA7E89" w:rsidR="003A7923" w:rsidP="003A7923" w:rsidRDefault="003A7923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>102. Индекс кредитоспособности, построенный с помощью аппарата мультипликативного дискриминантного анализа, позволяет в первом приближении разделить хозяйствующие субъекты на потенциальных банкротов и финансово устойчивых.</w:t>
      </w:r>
    </w:p>
    <w:p w:rsidRPr="00CA7E89" w:rsidR="003A7923" w:rsidP="003A7923" w:rsidRDefault="003A7923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А) Верно.</w:t>
      </w:r>
    </w:p>
    <w:p w:rsidRPr="00CA7E89" w:rsidR="003A7923" w:rsidP="003A7923" w:rsidRDefault="003A7923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Неверно.</w:t>
      </w:r>
    </w:p>
    <w:p w:rsidRPr="00CA7E89" w:rsidR="00185E37" w:rsidP="003A7923" w:rsidRDefault="00185E37">
      <w:pPr>
        <w:ind w:firstLine="709"/>
        <w:rPr>
          <w:rFonts w:ascii="Times New Roman" w:hAnsi="Times New Roman" w:cs="Times New Roman"/>
        </w:rPr>
      </w:pPr>
    </w:p>
    <w:p w:rsidRPr="00CA7E89" w:rsidR="003A7923" w:rsidP="003A7923" w:rsidRDefault="003A7923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103. Индекс кредитоспособности представляет собой функцию от некоторых показателей, характеризующих экономический потенциал предприятия и результаты его работы за истекший период. </w:t>
      </w:r>
    </w:p>
    <w:p w:rsidRPr="00CA7E89" w:rsidR="003A7923" w:rsidP="003A7923" w:rsidRDefault="003A7923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А) Верно.</w:t>
      </w:r>
    </w:p>
    <w:p w:rsidRPr="00CA7E89" w:rsidR="003A7923" w:rsidP="003A7923" w:rsidRDefault="003A7923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Б) Неверно.</w:t>
      </w:r>
    </w:p>
    <w:p w:rsidRPr="00CA7E89" w:rsidR="00185E37" w:rsidP="00CA7E89" w:rsidRDefault="00185E37">
      <w:pPr>
        <w:ind w:firstLine="709"/>
        <w:rPr>
          <w:rFonts w:ascii="Times New Roman" w:hAnsi="Times New Roman" w:cs="Times New Roman"/>
        </w:rPr>
      </w:pPr>
    </w:p>
    <w:p w:rsidRPr="00CA7E89" w:rsidR="00185E37" w:rsidP="00CA7E89" w:rsidRDefault="00185E37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108. Некоторые российские экономисты считают, что использовать зарубежные модели для оценки финансовой несостоятельности предприятий в условиях российской экономики нецелесообразно по следующим основаниям:</w:t>
      </w:r>
    </w:p>
    <w:p w:rsidRPr="00CA7E89" w:rsidR="00185E37" w:rsidP="00CA7E89" w:rsidRDefault="00185E37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несопоставимость факторов, генерирующих угрозу банкротства;</w:t>
      </w:r>
    </w:p>
    <w:p w:rsidRPr="00CA7E89" w:rsidR="00185E37" w:rsidP="00CA7E89" w:rsidRDefault="00185E37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различия в учете отдельных показателей;</w:t>
      </w:r>
    </w:p>
    <w:p w:rsidRPr="00CA7E89" w:rsidR="00185E37" w:rsidP="00CA7E89" w:rsidRDefault="00185E37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влияние инфляции на формирование показателей;</w:t>
      </w:r>
    </w:p>
    <w:p w:rsidRPr="00CA7E89" w:rsidR="00185E37" w:rsidP="00CA7E89" w:rsidRDefault="00185E37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4) полное соответствие балансовой и рыночной стоимости отдельных активов.</w:t>
      </w:r>
    </w:p>
    <w:p w:rsidRPr="00CA7E89" w:rsidR="00185E37" w:rsidP="00541CA7" w:rsidRDefault="00185E37">
      <w:pPr>
        <w:rPr>
          <w:rFonts w:ascii="Times New Roman" w:hAnsi="Times New Roman" w:cs="Times New Roman"/>
        </w:rPr>
      </w:pPr>
    </w:p>
    <w:p w:rsidRPr="00CA7E89" w:rsidR="00185E37" w:rsidP="00CA7E89" w:rsidRDefault="00185E37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>111. Метрическая шкала дискриминантного анализа строится на основе эмпирического исследования финансовых показателей большого количества предприятий, одни из которых оказались в финансовом кризисе, а другие успешно продолжают свою деятельность.</w:t>
      </w:r>
    </w:p>
    <w:p w:rsidRPr="00CA7E89" w:rsidR="00185E37" w:rsidP="00CA7E89" w:rsidRDefault="00185E37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А) Верно.</w:t>
      </w:r>
    </w:p>
    <w:p w:rsidRPr="00CA7E89" w:rsidR="00185E37" w:rsidP="009B1A9C" w:rsidRDefault="00185E37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Б) Неверно.</w:t>
      </w:r>
    </w:p>
    <w:p w:rsidRPr="00CA7E89" w:rsidR="00185E37" w:rsidP="00CA7E89" w:rsidRDefault="00185E37">
      <w:pPr>
        <w:ind w:firstLine="709"/>
        <w:rPr>
          <w:rFonts w:ascii="Times New Roman" w:hAnsi="Times New Roman" w:cs="Times New Roman"/>
        </w:rPr>
      </w:pPr>
    </w:p>
    <w:p>
      <w:pPr>
        <w:pStyle w:val="catHeading1"/>
        <w:jc w:val="center"/>
      </w:pPr>
      <w:r>
        <w:t/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130. Если </w:t>
      </w:r>
      <w:proofErr w:type="gramStart"/>
      <w:r w:rsidRPr="00CA7E89">
        <w:rPr>
          <w:rFonts w:ascii="Times New Roman" w:hAnsi="Times New Roman" w:cs="Times New Roman"/>
        </w:rPr>
        <w:t>NPV &gt;</w:t>
      </w:r>
      <w:proofErr w:type="gramEnd"/>
      <w:r w:rsidRPr="00CA7E89">
        <w:rPr>
          <w:rFonts w:ascii="Times New Roman" w:hAnsi="Times New Roman" w:cs="Times New Roman"/>
        </w:rPr>
        <w:t xml:space="preserve"> 0, то инвестиционный проект следует принять, так как он увеличивает ценность предприятия и благосостояние его владельцев. </w:t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>1) Верно.</w:t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Неверно.</w:t>
      </w:r>
    </w:p>
    <w:p w:rsidRPr="00CA7E89" w:rsidR="00185E37" w:rsidP="00CA7E89" w:rsidRDefault="00185E37">
      <w:pPr>
        <w:ind w:firstLine="709"/>
        <w:rPr>
          <w:rFonts w:ascii="Times New Roman" w:hAnsi="Times New Roman" w:cs="Times New Roman"/>
        </w:rPr>
      </w:pP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>141. При расчете инвестиционного проекта обычно используется:</w:t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А) чистая прибыль,</w:t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Б) чистый денежный поток от реализации проекта,</w:t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В) доход от реализации инвестиционного проекта.</w:t>
      </w:r>
    </w:p>
    <w:p w:rsidRPr="00CA7E89" w:rsidR="00B90D3B" w:rsidP="003A726A" w:rsidRDefault="00B90D3B">
      <w:pPr>
        <w:rPr>
          <w:rFonts w:ascii="Times New Roman" w:hAnsi="Times New Roman" w:cs="Times New Roman"/>
        </w:rPr>
      </w:pP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143. России наиболее часто для определения ставки дисконтирования используется: </w:t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А) метод кумулятивного построения; </w:t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Б) модель арбитражного ценообразования;</w:t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В) метод реальных опционов.</w:t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153. К внутренним источникам финансирования проекта относятся</w:t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Ассигнования из федерального бюджета</w:t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Средства, полученные за счет размещения облигаций</w:t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Прямые иностранные инвестиции</w:t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Реинвестируемая часть чистой прибыли</w:t>
      </w:r>
    </w:p>
    <w:p w:rsidRPr="00CA7E89" w:rsidR="00B90D3B" w:rsidP="00CA7E89" w:rsidRDefault="00B90D3B">
      <w:pPr>
        <w:ind w:firstLine="709"/>
        <w:rPr>
          <w:rFonts w:ascii="Times New Roman" w:hAnsi="Times New Roman" w:cs="Times New Roman"/>
        </w:rPr>
      </w:pPr>
    </w:p>
    <w:p w:rsidRPr="00CA7E89" w:rsidR="00F9444B" w:rsidP="00CA7E89" w:rsidRDefault="00F9444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 xml:space="preserve">159. Если </w:t>
      </w:r>
      <w:proofErr w:type="spellStart"/>
      <w:r w:rsidRPr="00CA7E89">
        <w:rPr>
          <w:rFonts w:ascii="Times New Roman" w:hAnsi="Times New Roman" w:cs="Times New Roman"/>
        </w:rPr>
        <w:t>безрисковая</w:t>
      </w:r>
      <w:proofErr w:type="spellEnd"/>
      <w:r w:rsidRPr="00CA7E89">
        <w:rPr>
          <w:rFonts w:ascii="Times New Roman" w:hAnsi="Times New Roman" w:cs="Times New Roman"/>
        </w:rPr>
        <w:t xml:space="preserve"> ставка составляет 10%, ожидаемая доходность рынка 20%, «бета»-коэффициент портфеля 0,8, то ожидаемая доходность инвестиционного портфеля составляет</w:t>
      </w:r>
    </w:p>
    <w:p w:rsidRPr="00CA7E89" w:rsidR="00F9444B" w:rsidP="00CA7E89" w:rsidRDefault="00F9444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26%</w:t>
      </w:r>
    </w:p>
    <w:p w:rsidRPr="00CA7E89" w:rsidR="00F9444B" w:rsidP="00CA7E89" w:rsidRDefault="00F9444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24%</w:t>
      </w:r>
    </w:p>
    <w:p w:rsidRPr="00CA7E89" w:rsidR="00F9444B" w:rsidP="00CA7E89" w:rsidRDefault="00F9444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18%</w:t>
      </w:r>
    </w:p>
    <w:p w:rsidRPr="00CA7E89" w:rsidR="00F9444B" w:rsidP="00CA7E89" w:rsidRDefault="00F9444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30%</w:t>
      </w:r>
    </w:p>
    <w:p w:rsidRPr="00CA7E89" w:rsidR="00A0240E" w:rsidP="00CA7E89" w:rsidRDefault="00A0240E">
      <w:pPr>
        <w:ind w:firstLine="709"/>
        <w:rPr>
          <w:rFonts w:ascii="Times New Roman" w:hAnsi="Times New Roman" w:cs="Times New Roman"/>
        </w:rPr>
      </w:pPr>
    </w:p>
    <w:p w:rsidRPr="00CA7E89" w:rsidR="00A0240E" w:rsidP="00CA7E89" w:rsidRDefault="00A0240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160. Стоимость капитала – это</w:t>
      </w:r>
    </w:p>
    <w:p w:rsidRPr="00CA7E89" w:rsidR="00A0240E" w:rsidP="00CA7E89" w:rsidRDefault="00A0240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Уровень доходности на вложенный капитал</w:t>
      </w:r>
    </w:p>
    <w:p w:rsidRPr="00CA7E89" w:rsidR="00A0240E" w:rsidP="00CA7E89" w:rsidRDefault="00A0240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Прибыль, которая необходима, чтобы удовлетворить требования владельцев капитала</w:t>
      </w:r>
    </w:p>
    <w:p w:rsidRPr="00CA7E89" w:rsidR="00A0240E" w:rsidP="00CA7E89" w:rsidRDefault="00A0240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Активы предприятия за минусом его обязательств</w:t>
      </w:r>
    </w:p>
    <w:p w:rsidRPr="00CA7E89" w:rsidR="00A0240E" w:rsidP="00CA7E89" w:rsidRDefault="00A0240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Основные и оборотные фонды предприятия</w:t>
      </w:r>
    </w:p>
    <w:p w:rsidRPr="00CA7E89" w:rsidR="00A0240E" w:rsidP="00CA7E89" w:rsidRDefault="00A0240E">
      <w:pPr>
        <w:ind w:firstLine="709"/>
        <w:rPr>
          <w:rFonts w:ascii="Times New Roman" w:hAnsi="Times New Roman" w:cs="Times New Roman"/>
        </w:rPr>
      </w:pPr>
    </w:p>
    <w:p w:rsidRPr="00CA7E89" w:rsidR="00F9444B" w:rsidP="00CA7E89" w:rsidRDefault="00F9444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161. «Бета» - коэффициент инвестиционного портфеля определяется как</w:t>
      </w:r>
    </w:p>
    <w:p w:rsidRPr="00CA7E89" w:rsidR="00F9444B" w:rsidP="00CA7E89" w:rsidRDefault="00F9444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Среднее геометрическое значений «бета» - коэффициентов активов, входящих в состав портфеля</w:t>
      </w:r>
    </w:p>
    <w:p w:rsidRPr="00CA7E89" w:rsidR="00F9444B" w:rsidP="00CA7E89" w:rsidRDefault="00F9444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Среднее арифметическое значений «бета» - коэффициентов активов, входящих в состав портфеля</w:t>
      </w:r>
    </w:p>
    <w:p w:rsidRPr="00CA7E89" w:rsidR="00F9444B" w:rsidP="00CA7E89" w:rsidRDefault="00F9444B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Средневзвешенное арифметическое значение величин «бета» - коэффициентов активов, входящих в состав портфеля</w:t>
      </w:r>
    </w:p>
    <w:p w:rsidRPr="00CA7E89" w:rsidR="00A0240E" w:rsidP="00CA7E89" w:rsidRDefault="00A0240E">
      <w:pPr>
        <w:ind w:firstLine="709"/>
        <w:rPr>
          <w:rFonts w:ascii="Times New Roman" w:hAnsi="Times New Roman" w:cs="Times New Roman"/>
        </w:rPr>
      </w:pP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170. По модели </w:t>
      </w:r>
      <w:proofErr w:type="spellStart"/>
      <w:r w:rsidRPr="00CA7E89">
        <w:rPr>
          <w:rFonts w:ascii="Times New Roman" w:hAnsi="Times New Roman" w:cs="Times New Roman"/>
        </w:rPr>
        <w:t>Марковица</w:t>
      </w:r>
      <w:proofErr w:type="spellEnd"/>
      <w:r w:rsidRPr="00CA7E89">
        <w:rPr>
          <w:rFonts w:ascii="Times New Roman" w:hAnsi="Times New Roman" w:cs="Times New Roman"/>
        </w:rPr>
        <w:t xml:space="preserve"> определяются показатели, характеризующие объем инвестиций и риск что позволяет сравнивать между собой различные альтернативы вложения капитала с точки зрения поставленных целей.</w:t>
      </w: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Верно.</w:t>
      </w: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Неверно.</w:t>
      </w:r>
    </w:p>
    <w:p w:rsidRPr="00CA7E89" w:rsidR="00A0240E" w:rsidP="00CA7E89" w:rsidRDefault="00A0240E">
      <w:pPr>
        <w:ind w:firstLine="709"/>
        <w:rPr>
          <w:rFonts w:ascii="Times New Roman" w:hAnsi="Times New Roman" w:cs="Times New Roman"/>
        </w:rPr>
      </w:pP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174. Экономический смысл средневзвешенной стоимости капитала состоит в том, что организация может принимать любые решения (в том числе инвестиционного характера), если уровень их рентабельности не ниже текущего значения показателя средневзвешенной стоимости капитала. </w:t>
      </w: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Верно.</w:t>
      </w: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Неверно.</w:t>
      </w:r>
    </w:p>
    <w:p w:rsidRPr="00CA7E89" w:rsidR="00A0240E" w:rsidP="00CA7E89" w:rsidRDefault="00A0240E">
      <w:pPr>
        <w:ind w:firstLine="709"/>
        <w:rPr>
          <w:rFonts w:ascii="Times New Roman" w:hAnsi="Times New Roman" w:cs="Times New Roman"/>
        </w:rPr>
      </w:pPr>
    </w:p>
    <w:p>
      <w:pPr>
        <w:pStyle w:val="catHeading1"/>
        <w:jc w:val="center"/>
      </w:pPr>
      <w:r>
        <w:t/>
      </w: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193. Программа «Альт-Инвест» относится к классу "открытых" программ: пользователь имеет возможность контролировать процедуру вычислений путем внесения изменений в конкретные расчетные формулы.</w:t>
      </w: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Верно.</w:t>
      </w: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Неверно.</w:t>
      </w: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196. «</w:t>
      </w:r>
      <w:proofErr w:type="spellStart"/>
      <w:r w:rsidRPr="00CA7E89">
        <w:rPr>
          <w:rFonts w:ascii="Times New Roman" w:hAnsi="Times New Roman" w:cs="Times New Roman"/>
        </w:rPr>
        <w:t>Project</w:t>
      </w:r>
      <w:proofErr w:type="spellEnd"/>
      <w:r w:rsidRPr="00CA7E89">
        <w:rPr>
          <w:rFonts w:ascii="Times New Roman" w:hAnsi="Times New Roman" w:cs="Times New Roman"/>
        </w:rPr>
        <w:t xml:space="preserve"> </w:t>
      </w:r>
      <w:proofErr w:type="spellStart"/>
      <w:r w:rsidRPr="00CA7E89">
        <w:rPr>
          <w:rFonts w:ascii="Times New Roman" w:hAnsi="Times New Roman" w:cs="Times New Roman"/>
        </w:rPr>
        <w:t>Expert</w:t>
      </w:r>
      <w:proofErr w:type="spellEnd"/>
      <w:r w:rsidRPr="00CA7E89">
        <w:rPr>
          <w:rFonts w:ascii="Times New Roman" w:hAnsi="Times New Roman" w:cs="Times New Roman"/>
        </w:rPr>
        <w:t>» обеспечивает формирование стандартных отчетов оценки инвестиционных проектов:</w:t>
      </w: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А) расчет срока окупаемости</w:t>
      </w: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Б) индекса доходности;</w:t>
      </w: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В) чистого дисконтированного дохода;</w:t>
      </w: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Г) внутренней нормы доходности;</w:t>
      </w: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Д) модифицированной внутренней нормы доходности</w:t>
      </w:r>
    </w:p>
    <w:p w:rsidRPr="00CA7E89" w:rsidR="0099298F" w:rsidP="00CA7E89" w:rsidRDefault="0099298F">
      <w:pPr>
        <w:ind w:firstLine="709"/>
        <w:rPr>
          <w:rFonts w:ascii="Times New Roman" w:hAnsi="Times New Roman" w:cs="Times New Roman"/>
        </w:rPr>
      </w:pP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197. Программа «</w:t>
      </w:r>
      <w:proofErr w:type="spellStart"/>
      <w:r w:rsidRPr="00CA7E89">
        <w:rPr>
          <w:rFonts w:ascii="Times New Roman" w:hAnsi="Times New Roman" w:cs="Times New Roman"/>
        </w:rPr>
        <w:t>Project</w:t>
      </w:r>
      <w:proofErr w:type="spellEnd"/>
      <w:r w:rsidRPr="00CA7E89">
        <w:rPr>
          <w:rFonts w:ascii="Times New Roman" w:hAnsi="Times New Roman" w:cs="Times New Roman"/>
        </w:rPr>
        <w:t xml:space="preserve"> </w:t>
      </w:r>
      <w:proofErr w:type="spellStart"/>
      <w:r w:rsidRPr="00CA7E89">
        <w:rPr>
          <w:rFonts w:ascii="Times New Roman" w:hAnsi="Times New Roman" w:cs="Times New Roman"/>
        </w:rPr>
        <w:t>Expert</w:t>
      </w:r>
      <w:proofErr w:type="spellEnd"/>
      <w:r w:rsidRPr="00CA7E89">
        <w:rPr>
          <w:rFonts w:ascii="Times New Roman" w:hAnsi="Times New Roman" w:cs="Times New Roman"/>
        </w:rPr>
        <w:t xml:space="preserve">» построена на современных подходах по расчету и анализу инвестиционных проектов, в основе которых, лежат принципы международного стандарта бухгалтерского учета. 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Верно.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Неверно.</w:t>
      </w:r>
    </w:p>
    <w:p w:rsidRPr="00CA7E89" w:rsidR="00D4742E" w:rsidP="00CA7E89" w:rsidRDefault="00D4742E">
      <w:pPr>
        <w:ind w:firstLine="709"/>
        <w:rPr>
          <w:rFonts w:ascii="Times New Roman" w:hAnsi="Times New Roman" w:cs="Times New Roman"/>
        </w:rPr>
      </w:pPr>
    </w:p>
  </w:body>
</w:document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3C189A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189A"/>
    <w:pPr>
      <w:spacing w:after="0" w:line="240" w:lineRule="auto"/>
    </w:pPr>
    <w:rPr>
      <w:rFonts w:eastAsiaTheme="minorEastAsia"/>
      <w:lang w:eastAsia="ru-RU"/>
    </w:rPr>
  </w:style>
  <w:style w:type="character" w:styleId="a4" w:customStyle="1">
    <w:name w:val="Без интервала Знак"/>
    <w:basedOn w:val="a0"/>
    <w:link w:val="a3"/>
    <w:uiPriority w:val="1"/>
    <w:rsid w:val="003C189A"/>
    <w:rPr>
      <w:rFonts w:eastAsiaTheme="minorEastAsia"/>
      <w:lang w:eastAsia="ru-RU"/>
    </w:rPr>
  </w:style>
  <w:style w:type="character" w:styleId="a5" w:customStyle="1">
    <w:name w:val="Текст выноски Знак"/>
    <w:basedOn w:val="a0"/>
    <w:link w:val="a6"/>
    <w:uiPriority w:val="99"/>
    <w:semiHidden/>
    <w:rsid w:val="003C189A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3C1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7" w:customStyle="1">
    <w:name w:val="Текст сноски Знак"/>
    <w:basedOn w:val="a0"/>
    <w:link w:val="a8"/>
    <w:semiHidden/>
    <w:rsid w:val="003C189A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a8">
    <w:name w:val="footnote text"/>
    <w:basedOn w:val="a"/>
    <w:link w:val="a7"/>
    <w:semiHidden/>
    <w:unhideWhenUsed/>
    <w:rsid w:val="003C189A"/>
    <w:pPr>
      <w:widowControl w:val="0"/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rsid w:val="003C189A"/>
    <w:pPr>
      <w:spacing w:before="100" w:beforeAutospacing="1" w:after="100" w:afterAutospacing="1" w:line="240" w:lineRule="auto"/>
      <w:ind w:firstLine="709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3C189A"/>
    <w:pPr>
      <w:widowControl w:val="0"/>
      <w:tabs>
        <w:tab w:val="right" w:leader="dot" w:pos="9911"/>
      </w:tabs>
      <w:spacing w:after="0" w:line="240" w:lineRule="auto"/>
    </w:pPr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table" w:styleId="aa">
    <w:name w:val="Table Grid"/>
    <w:basedOn w:val="a1"/>
    <w:uiPriority w:val="59"/>
    <w:rsid w:val="00EB536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cketHeading1">
    <w:basedOn w:val="Normal"/>
    <w:next w:val="Normal"/>
    <w:name w:val="ticketheading 1"/>
    <w:qFormat/>
    <w:rPr>
      <w:b/>
      <w:rFonts w:asciiTheme="majorAscii" w:hAnsiTheme="majorHAnsi" w:eastAsiaTheme="majorEastAsia" w:cstheme="majorBidi"/>
      <w:color w:val="000000" w:themeShade="BF"/>
      <w:sz w:val="32"/>
    </w:rPr>
  </w:style>
  <w:style w:type="paragraph" w:styleId="catHeading1">
    <w:basedOn w:val="Normal"/>
    <w:next w:val="Normal"/>
    <w:name w:val="catheading 1"/>
    <w:qFormat/>
    <w:rPr>
      <w:b/>
      <w:rFonts w:asciiTheme="majorAscii" w:hAnsiTheme="majorHAnsi" w:eastAsiaTheme="majorEastAsia" w:cstheme="majorBidi"/>
      <w:color w:val="365F91" w:themeShade="BF"/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751165dda1f452a" /></Relationships>
</file>