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8549" w14:textId="77777777" w:rsidR="00C50F03" w:rsidRPr="00C50F03" w:rsidRDefault="00C50F03" w:rsidP="00C50F03">
      <w:pPr>
        <w:spacing w:before="150" w:after="150" w:line="600" w:lineRule="atLeast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C50F03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Междисциплинарная курсовая работа</w:t>
      </w:r>
    </w:p>
    <w:p w14:paraId="7A843745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Введение содержит обоснование выбора темы, ее актуальность, формулировку цели и задач работы, определение объекта и предмета исследования, определение степени разработанности данной темы, обзор источников и литературы, характеристику структуры работы.</w:t>
      </w:r>
    </w:p>
    <w:p w14:paraId="3D494648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3.3.   Основная часть курсовой работы включает главы, разделенные, как правило, на параграфы (подразделы). Эта часть строится на основе научной и учебной литературы, нормативно-правовых и методических документов, статистического материала, материалов учебной и производственных практик и т. п.</w:t>
      </w:r>
    </w:p>
    <w:p w14:paraId="3F1A1E6F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3.4.      В заключении обобщаются достигнутые результаты, делаются выводы, намечаются перспективы исследования. Выводы должны быть краткими и четкими, давать представление о содержании, значимости, обоснованности и эффективности разработок.</w:t>
      </w:r>
    </w:p>
    <w:p w14:paraId="680E5FD7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3.5.    Список источников и литературы рекомендуется формировать по разделам:</w:t>
      </w:r>
    </w:p>
    <w:p w14:paraId="0A7F9AF1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-       источники;</w:t>
      </w:r>
    </w:p>
    <w:p w14:paraId="5C67CF3D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-       литература;</w:t>
      </w:r>
    </w:p>
    <w:p w14:paraId="15864023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-       ресурсы информационно-телекоммуникационной сети «Интернет».</w:t>
      </w:r>
    </w:p>
    <w:p w14:paraId="5A57448C" w14:textId="44AAB9DB" w:rsidR="00C50F03" w:rsidRDefault="00C50F03" w:rsidP="00C50F03">
      <w:pPr>
        <w:pStyle w:val="text-align-justify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3.6.   Оформление научно-справочного аппарата должно соответствовать </w:t>
      </w:r>
      <w:hyperlink r:id="rId5" w:history="1">
        <w:r>
          <w:rPr>
            <w:rStyle w:val="a4"/>
            <w:rFonts w:ascii="Verdana" w:hAnsi="Verdana"/>
            <w:color w:val="943B21"/>
            <w:sz w:val="21"/>
            <w:szCs w:val="21"/>
            <w:u w:val="none"/>
          </w:rPr>
          <w:t>правилам библиографического описания</w:t>
        </w:r>
      </w:hyperlink>
      <w:r>
        <w:rPr>
          <w:rFonts w:ascii="Verdana" w:hAnsi="Verdana"/>
          <w:color w:val="217A94"/>
          <w:sz w:val="21"/>
          <w:szCs w:val="21"/>
        </w:rPr>
        <w:t>.</w:t>
      </w:r>
    </w:p>
    <w:p w14:paraId="5432A1FC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Объем курсовой работы должен составлять не менее 24 страниц машинописного текста.</w:t>
      </w:r>
    </w:p>
    <w:p w14:paraId="357D2DB8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3.8.    Все тексты курсовых работ проходят обязательную проверку на оригинальность в программе «Антиплагиат».</w:t>
      </w:r>
    </w:p>
    <w:p w14:paraId="1E4FB846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3.9.   </w:t>
      </w:r>
      <w:r>
        <w:rPr>
          <w:rFonts w:ascii="Verdana" w:hAnsi="Verdana"/>
          <w:b/>
          <w:bCs/>
          <w:color w:val="217A94"/>
          <w:sz w:val="21"/>
          <w:szCs w:val="21"/>
        </w:rPr>
        <w:t>В случае оригинальности текста курсовой работы не менее 60 % работа допускается к аттестации.</w:t>
      </w:r>
    </w:p>
    <w:p w14:paraId="735D1365" w14:textId="77777777" w:rsidR="00C50F03" w:rsidRDefault="00C50F03" w:rsidP="00C50F03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3.10.       Дополнительные требования к содержанию и оформлению курсовой работы могут быть включены в методические рекомендации по подготовке курсовых работ.</w:t>
      </w:r>
    </w:p>
    <w:p w14:paraId="64A8D35C" w14:textId="77777777" w:rsidR="00C50F03" w:rsidRDefault="00C50F03" w:rsidP="00C50F03">
      <w:pPr>
        <w:pStyle w:val="text-align-justify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</w:p>
    <w:p w14:paraId="217BDD1C" w14:textId="5A6CA998" w:rsidR="00C35008" w:rsidRDefault="00C50F03">
      <w:r>
        <w:t>Темы:</w:t>
      </w:r>
    </w:p>
    <w:p w14:paraId="51725064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Организационно- правовые аспекты деятельности Президента РФ</w:t>
      </w:r>
    </w:p>
    <w:p w14:paraId="2982F468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Организационно- правовые аспекты деятельности Правительства РФ</w:t>
      </w:r>
    </w:p>
    <w:p w14:paraId="1FE6F8B9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-правовые аспекты деятельности Совета Федерации Федерального Собрания РФ</w:t>
      </w:r>
    </w:p>
    <w:p w14:paraId="7AE09ADC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Организационно- правовые аспекты деятельности Государственной Думы Федерального Собрания РФ</w:t>
      </w:r>
    </w:p>
    <w:p w14:paraId="15A1D8F8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Организационно- правовые аспекты деятельности Министерства внутренних дел РФ</w:t>
      </w:r>
    </w:p>
    <w:p w14:paraId="7D0D5D0F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Организационно- правовые аспекты деятельности Министерства Иностранных дел РФ</w:t>
      </w:r>
    </w:p>
    <w:p w14:paraId="04B806C8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Организационно- правовые аспекты деятельности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14:paraId="22E8E3BA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Организационно- правовые аспекты деятельности Министерства обороны Российской Федерации</w:t>
      </w:r>
    </w:p>
    <w:p w14:paraId="5B750B78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Федеральной службы исполнения наказаний</w:t>
      </w:r>
    </w:p>
    <w:p w14:paraId="3445DD93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Федеральной службы безопасности Российской Федерации</w:t>
      </w:r>
    </w:p>
    <w:p w14:paraId="77522837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Министерства юстиции Российской Федерации</w:t>
      </w:r>
    </w:p>
    <w:p w14:paraId="25DDC1B0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Министерства сельского хозяйства Российской Федерации</w:t>
      </w:r>
    </w:p>
    <w:p w14:paraId="475C5295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Министерства финансов Российской Федерации</w:t>
      </w:r>
    </w:p>
    <w:p w14:paraId="3BD8E935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Федеральной налоговой службы</w:t>
      </w:r>
    </w:p>
    <w:p w14:paraId="0B77703F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Федеральной антимонопольной службы</w:t>
      </w:r>
    </w:p>
    <w:p w14:paraId="0019DA23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Федерального агентства по туризму</w:t>
      </w:r>
    </w:p>
    <w:p w14:paraId="7AD21B7F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Федеральной таможенной службы</w:t>
      </w:r>
    </w:p>
    <w:p w14:paraId="6975CC79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Федеральной службы по регулирования алкогольного рынка</w:t>
      </w:r>
    </w:p>
    <w:p w14:paraId="673236D0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Федеральной службы государственной статистики</w:t>
      </w:r>
    </w:p>
    <w:p w14:paraId="0C6DC93E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Федерального дорожного агентства</w:t>
      </w:r>
    </w:p>
    <w:p w14:paraId="6ACE16C7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Управы Басманного района г. Москвы</w:t>
      </w:r>
    </w:p>
    <w:p w14:paraId="7F4CC687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Правительства г. Москвы</w:t>
      </w:r>
    </w:p>
    <w:p w14:paraId="3F691B29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Администрации г. Санкт-Петербурга</w:t>
      </w:r>
    </w:p>
    <w:p w14:paraId="3E43BFF2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Московской городской Думы</w:t>
      </w:r>
    </w:p>
    <w:p w14:paraId="48278EC4" w14:textId="77777777" w:rsidR="00C50F03" w:rsidRPr="00C50F03" w:rsidRDefault="00C50F03" w:rsidP="00C5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C50F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Организационно правовые аспекты деятельности Правительства Московской области.</w:t>
      </w:r>
    </w:p>
    <w:p w14:paraId="15B30CCE" w14:textId="77777777" w:rsidR="00C50F03" w:rsidRDefault="00C50F03"/>
    <w:sectPr w:rsidR="00C5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864D7"/>
    <w:multiLevelType w:val="multilevel"/>
    <w:tmpl w:val="9B60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AD"/>
    <w:rsid w:val="0007441B"/>
    <w:rsid w:val="002906D7"/>
    <w:rsid w:val="00C35008"/>
    <w:rsid w:val="00C50F03"/>
    <w:rsid w:val="00DD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7A53"/>
  <w15:chartTrackingRefBased/>
  <w15:docId w15:val="{3BBF774E-C6D9-4D2B-9655-12B7B676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C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0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er.rsuh.ru/ru/student_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2021-05-09T19:24:00Z</dcterms:created>
  <dcterms:modified xsi:type="dcterms:W3CDTF">2021-05-09T19:26:00Z</dcterms:modified>
</cp:coreProperties>
</file>