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6D3" w14:textId="5E7C4AA4" w:rsidR="00AD585D" w:rsidRDefault="00AE34C6">
      <w:r>
        <w:t xml:space="preserve">Дать характеристику Пермского края по отношению к экономике России. Оценить инвестиционные риски Пермского края </w:t>
      </w:r>
      <w:proofErr w:type="gramStart"/>
      <w:r>
        <w:t>( с</w:t>
      </w:r>
      <w:proofErr w:type="gramEnd"/>
      <w:r>
        <w:t xml:space="preserve"> таблицами, статистическими данными) Оригинальность от 70%</w:t>
      </w:r>
    </w:p>
    <w:sectPr w:rsidR="00AD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5D"/>
    <w:rsid w:val="00AD585D"/>
    <w:rsid w:val="00A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3852"/>
  <w15:chartTrackingRefBased/>
  <w15:docId w15:val="{658BE257-33D8-4EDB-83F2-DF4F0404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Dorofeeva</dc:creator>
  <cp:keywords/>
  <dc:description/>
  <cp:lastModifiedBy>Dorofeeva</cp:lastModifiedBy>
  <cp:revision>2</cp:revision>
  <dcterms:created xsi:type="dcterms:W3CDTF">2021-05-31T19:18:00Z</dcterms:created>
  <dcterms:modified xsi:type="dcterms:W3CDTF">2021-05-31T19:20:00Z</dcterms:modified>
</cp:coreProperties>
</file>