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D0" w:rsidRDefault="0031131A">
      <w:pPr>
        <w:tabs>
          <w:tab w:val="left" w:pos="708"/>
        </w:tabs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Приложение 6</w:t>
      </w:r>
    </w:p>
    <w:p w:rsidR="00B074D0" w:rsidRDefault="0031131A">
      <w:pPr>
        <w:tabs>
          <w:tab w:val="left" w:pos="708"/>
        </w:tabs>
        <w:jc w:val="right"/>
        <w:rPr>
          <w:b/>
          <w:bCs/>
        </w:rPr>
      </w:pPr>
      <w:r>
        <w:rPr>
          <w:b/>
          <w:bCs/>
        </w:rPr>
        <w:t xml:space="preserve"> к рабочей программе</w:t>
      </w:r>
    </w:p>
    <w:p w:rsidR="00B074D0" w:rsidRDefault="00B074D0">
      <w:pPr>
        <w:tabs>
          <w:tab w:val="left" w:pos="708"/>
        </w:tabs>
        <w:jc w:val="center"/>
      </w:pPr>
    </w:p>
    <w:p w:rsidR="00B074D0" w:rsidRDefault="0031131A">
      <w:pPr>
        <w:keepNext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B074D0" w:rsidRDefault="0031131A">
      <w:pPr>
        <w:spacing w:line="28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УРАЛЬСКИЙ ГОСУДАРСТВЕННЫЙ ЭКОНОМИЧЕСКИЙ УНИВЕРСИТЕТ</w:t>
      </w:r>
    </w:p>
    <w:p w:rsidR="00B074D0" w:rsidRDefault="00B074D0">
      <w:pPr>
        <w:ind w:left="5670"/>
        <w:rPr>
          <w:sz w:val="20"/>
          <w:szCs w:val="20"/>
        </w:rPr>
      </w:pPr>
    </w:p>
    <w:p w:rsidR="00B074D0" w:rsidRDefault="00B074D0">
      <w:pPr>
        <w:ind w:left="5670"/>
        <w:rPr>
          <w:sz w:val="20"/>
          <w:szCs w:val="20"/>
        </w:rPr>
      </w:pPr>
    </w:p>
    <w:p w:rsidR="00B074D0" w:rsidRDefault="00B074D0">
      <w:pPr>
        <w:ind w:left="5670"/>
        <w:rPr>
          <w:sz w:val="20"/>
          <w:szCs w:val="20"/>
        </w:rPr>
      </w:pPr>
    </w:p>
    <w:p w:rsidR="00B074D0" w:rsidRDefault="0031131A">
      <w:pPr>
        <w:ind w:left="5670"/>
        <w:rPr>
          <w:sz w:val="20"/>
          <w:szCs w:val="20"/>
        </w:rPr>
      </w:pPr>
      <w:r>
        <w:rPr>
          <w:sz w:val="20"/>
          <w:szCs w:val="20"/>
        </w:rPr>
        <w:t>УТВЕРЖДЕНЫ</w:t>
      </w:r>
    </w:p>
    <w:p w:rsidR="00B074D0" w:rsidRDefault="0031131A">
      <w:pPr>
        <w:ind w:left="5670"/>
        <w:rPr>
          <w:sz w:val="20"/>
          <w:szCs w:val="20"/>
        </w:rPr>
      </w:pPr>
      <w:r>
        <w:rPr>
          <w:sz w:val="20"/>
          <w:szCs w:val="20"/>
        </w:rPr>
        <w:t>на заседании кафедры финансов, денежного обращения</w:t>
      </w:r>
      <w:r w:rsidR="00DD6FCE">
        <w:rPr>
          <w:sz w:val="20"/>
          <w:szCs w:val="20"/>
        </w:rPr>
        <w:t xml:space="preserve"> и кредита</w:t>
      </w:r>
    </w:p>
    <w:p w:rsidR="00B074D0" w:rsidRDefault="00B074D0">
      <w:pPr>
        <w:tabs>
          <w:tab w:val="left" w:pos="708"/>
        </w:tabs>
        <w:jc w:val="center"/>
      </w:pPr>
    </w:p>
    <w:p w:rsidR="00B074D0" w:rsidRDefault="00B074D0">
      <w:pPr>
        <w:tabs>
          <w:tab w:val="left" w:pos="708"/>
        </w:tabs>
        <w:jc w:val="center"/>
      </w:pPr>
    </w:p>
    <w:p w:rsidR="00B074D0" w:rsidRDefault="00B074D0">
      <w:pPr>
        <w:tabs>
          <w:tab w:val="left" w:pos="708"/>
        </w:tabs>
        <w:jc w:val="center"/>
      </w:pPr>
    </w:p>
    <w:p w:rsidR="00B074D0" w:rsidRDefault="00B074D0">
      <w:pPr>
        <w:tabs>
          <w:tab w:val="left" w:pos="708"/>
        </w:tabs>
        <w:jc w:val="center"/>
      </w:pPr>
    </w:p>
    <w:p w:rsidR="00B074D0" w:rsidRDefault="00B074D0">
      <w:pPr>
        <w:tabs>
          <w:tab w:val="left" w:pos="708"/>
        </w:tabs>
        <w:jc w:val="center"/>
      </w:pPr>
    </w:p>
    <w:p w:rsidR="00B074D0" w:rsidRDefault="00B074D0">
      <w:pPr>
        <w:tabs>
          <w:tab w:val="left" w:pos="708"/>
        </w:tabs>
        <w:jc w:val="center"/>
      </w:pPr>
    </w:p>
    <w:p w:rsidR="00B074D0" w:rsidRDefault="00B074D0">
      <w:pPr>
        <w:tabs>
          <w:tab w:val="left" w:pos="708"/>
        </w:tabs>
        <w:jc w:val="center"/>
      </w:pPr>
    </w:p>
    <w:p w:rsidR="00B074D0" w:rsidRDefault="0031131A">
      <w:pPr>
        <w:tabs>
          <w:tab w:val="left" w:pos="708"/>
        </w:tabs>
        <w:jc w:val="center"/>
        <w:rPr>
          <w:rStyle w:val="dxdefaultcursor"/>
          <w:b/>
          <w:color w:val="0000FF"/>
          <w:sz w:val="28"/>
          <w:szCs w:val="28"/>
        </w:rPr>
      </w:pPr>
      <w:r>
        <w:rPr>
          <w:rStyle w:val="dxdefaultcursor"/>
          <w:b/>
          <w:color w:val="0000FF"/>
          <w:sz w:val="28"/>
          <w:szCs w:val="28"/>
        </w:rPr>
        <w:t xml:space="preserve">МЕТОДИЧЕСКИЕ РЕКОМЕНДАЦИИ ПО ВЫПОЛНЕНИЮ КОНТРОЛЬНОЙ РАБОТЫ </w:t>
      </w:r>
    </w:p>
    <w:p w:rsidR="00B074D0" w:rsidRDefault="0031131A">
      <w:pPr>
        <w:tabs>
          <w:tab w:val="left" w:pos="708"/>
        </w:tabs>
        <w:jc w:val="center"/>
        <w:rPr>
          <w:rStyle w:val="dxdefaultcursor"/>
          <w:b/>
          <w:color w:val="0000FF"/>
          <w:sz w:val="28"/>
          <w:szCs w:val="28"/>
        </w:rPr>
      </w:pPr>
      <w:r>
        <w:rPr>
          <w:rStyle w:val="dxdefaultcursor"/>
          <w:b/>
          <w:color w:val="0000FF"/>
          <w:sz w:val="28"/>
          <w:szCs w:val="28"/>
        </w:rPr>
        <w:t>ДЛЯ СТУДЕНТОВ ЗАОЧНОЙ ФОРМЫ ОБУЧЕНИЯ</w:t>
      </w:r>
    </w:p>
    <w:p w:rsidR="00B074D0" w:rsidRDefault="00B074D0">
      <w:pPr>
        <w:tabs>
          <w:tab w:val="left" w:pos="708"/>
        </w:tabs>
        <w:jc w:val="center"/>
      </w:pPr>
    </w:p>
    <w:p w:rsidR="00B074D0" w:rsidRDefault="0031131A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 xml:space="preserve">по дисциплине </w:t>
      </w:r>
    </w:p>
    <w:p w:rsidR="00B074D0" w:rsidRDefault="0031131A">
      <w:pPr>
        <w:tabs>
          <w:tab w:val="left" w:pos="708"/>
        </w:tabs>
        <w:jc w:val="center"/>
        <w:rPr>
          <w:rStyle w:val="dxdefaultcursor"/>
          <w:b/>
          <w:color w:val="0000FF"/>
        </w:rPr>
      </w:pPr>
      <w:r>
        <w:rPr>
          <w:rStyle w:val="dxdefaultcursor"/>
          <w:b/>
          <w:color w:val="0000FF"/>
        </w:rPr>
        <w:t>Налоги и налогообложение</w:t>
      </w:r>
    </w:p>
    <w:p w:rsidR="00B074D0" w:rsidRDefault="00B074D0">
      <w:pPr>
        <w:tabs>
          <w:tab w:val="left" w:pos="708"/>
        </w:tabs>
      </w:pPr>
    </w:p>
    <w:p w:rsidR="00B074D0" w:rsidRDefault="00B074D0">
      <w:pPr>
        <w:tabs>
          <w:tab w:val="left" w:pos="708"/>
        </w:tabs>
      </w:pPr>
    </w:p>
    <w:p w:rsidR="00B074D0" w:rsidRDefault="0031131A">
      <w:pPr>
        <w:pageBreakBefore/>
        <w:tabs>
          <w:tab w:val="left" w:pos="1134"/>
          <w:tab w:val="right" w:leader="underscore" w:pos="8505"/>
        </w:tabs>
        <w:spacing w:line="360" w:lineRule="auto"/>
        <w:ind w:firstLine="704"/>
        <w:jc w:val="both"/>
        <w:rPr>
          <w:rFonts w:eastAsia="Times New Roman"/>
          <w:b/>
          <w:color w:val="0000FF"/>
        </w:rPr>
      </w:pPr>
      <w:r>
        <w:rPr>
          <w:rFonts w:eastAsia="Times New Roman"/>
          <w:b/>
          <w:color w:val="0000FF"/>
        </w:rPr>
        <w:lastRenderedPageBreak/>
        <w:t>Последовательность бакалавров по подготовке и написанию контрольной работы:</w:t>
      </w:r>
    </w:p>
    <w:p w:rsidR="00B074D0" w:rsidRDefault="0031131A">
      <w:pPr>
        <w:tabs>
          <w:tab w:val="left" w:pos="1134"/>
          <w:tab w:val="right" w:leader="underscore" w:pos="8505"/>
        </w:tabs>
        <w:spacing w:line="360" w:lineRule="auto"/>
        <w:ind w:firstLine="704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1. Самостоятельно выбрать тему контрольной работы исходя из </w:t>
      </w:r>
      <w:proofErr w:type="gramStart"/>
      <w:r>
        <w:rPr>
          <w:rFonts w:eastAsia="Times New Roman"/>
        </w:rPr>
        <w:t>представленных  тем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color w:val="0000FF"/>
        </w:rPr>
        <w:t xml:space="preserve">(см. приложение 4), </w:t>
      </w:r>
      <w:r>
        <w:rPr>
          <w:rFonts w:eastAsia="Times New Roman"/>
          <w:color w:val="000000"/>
        </w:rPr>
        <w:t>составить план по выбранной теме</w:t>
      </w:r>
      <w:r>
        <w:rPr>
          <w:rFonts w:eastAsia="Times New Roman"/>
          <w:color w:val="0000FF"/>
        </w:rPr>
        <w:t xml:space="preserve"> </w:t>
      </w:r>
      <w:r>
        <w:rPr>
          <w:rFonts w:eastAsia="Times New Roman"/>
          <w:color w:val="000000"/>
        </w:rPr>
        <w:t xml:space="preserve">и согласовать выбранную тему и содержание работы с </w:t>
      </w:r>
      <w:r>
        <w:rPr>
          <w:color w:val="000000"/>
        </w:rPr>
        <w:t>преподавателем</w:t>
      </w:r>
      <w:r>
        <w:rPr>
          <w:rFonts w:eastAsia="Times New Roman"/>
          <w:color w:val="000000"/>
        </w:rPr>
        <w:t xml:space="preserve">. </w:t>
      </w:r>
    </w:p>
    <w:p w:rsidR="00B074D0" w:rsidRDefault="0031131A">
      <w:pPr>
        <w:tabs>
          <w:tab w:val="left" w:pos="1134"/>
          <w:tab w:val="right" w:leader="underscore" w:pos="8505"/>
        </w:tabs>
        <w:spacing w:line="360" w:lineRule="auto"/>
        <w:ind w:firstLine="704"/>
        <w:jc w:val="both"/>
        <w:rPr>
          <w:rFonts w:eastAsia="Times New Roman"/>
        </w:rPr>
      </w:pPr>
      <w:r>
        <w:rPr>
          <w:rFonts w:eastAsia="Times New Roman"/>
        </w:rPr>
        <w:t>2. Подобрать соответствующий информационный, статистический материал и провести его предварительный анализ. К наиболее доступным источникам литературы относятся фонды библиотеки, а также могут использоваться электронные источники информации (в том числе и Интернет, с обязательным его указанием по тексту контрольной работы).</w:t>
      </w:r>
    </w:p>
    <w:p w:rsidR="00B074D0" w:rsidRDefault="0031131A">
      <w:pPr>
        <w:tabs>
          <w:tab w:val="left" w:pos="1134"/>
          <w:tab w:val="right" w:leader="underscore" w:pos="8505"/>
        </w:tabs>
        <w:spacing w:line="360" w:lineRule="auto"/>
        <w:ind w:firstLine="704"/>
        <w:jc w:val="both"/>
        <w:rPr>
          <w:rFonts w:eastAsia="Times New Roman"/>
        </w:rPr>
      </w:pPr>
      <w:r>
        <w:rPr>
          <w:rFonts w:eastAsia="Times New Roman"/>
        </w:rPr>
        <w:t>3. Контрольная работа должна содержать чёткое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 соответствующей дисциплины, выводы, обобщающие авторскую позицию по поставленной проблеме.</w:t>
      </w:r>
    </w:p>
    <w:p w:rsidR="00B074D0" w:rsidRDefault="0031131A">
      <w:pPr>
        <w:spacing w:line="360" w:lineRule="auto"/>
        <w:ind w:firstLine="704"/>
        <w:jc w:val="both"/>
        <w:rPr>
          <w:rFonts w:eastAsia="Times New Roman"/>
        </w:rPr>
      </w:pPr>
      <w:r>
        <w:rPr>
          <w:rFonts w:eastAsia="Times New Roman"/>
        </w:rPr>
        <w:t>4. Объем контрольной работы устанавливается в зависимости от конкретной темы, но не может быть менее 15 страниц. Структура контрольной работы состоит, как правило, из 3 разделов, объем каждой из которых – 5-6 страниц.</w:t>
      </w:r>
    </w:p>
    <w:p w:rsidR="00B074D0" w:rsidRDefault="0031131A">
      <w:pPr>
        <w:spacing w:line="360" w:lineRule="auto"/>
        <w:ind w:firstLine="704"/>
        <w:jc w:val="both"/>
        <w:rPr>
          <w:rFonts w:eastAsia="Times New Roman"/>
        </w:rPr>
      </w:pPr>
      <w:r>
        <w:rPr>
          <w:rFonts w:eastAsia="Times New Roman"/>
        </w:rPr>
        <w:t xml:space="preserve">Контрольная работа должна включать введение, в котором обосновывается причина выбора темы контрольной работы, рассматривается ее актуальность, описываются литературные источники. </w:t>
      </w:r>
    </w:p>
    <w:p w:rsidR="00B074D0" w:rsidRDefault="0031131A">
      <w:pPr>
        <w:spacing w:line="360" w:lineRule="auto"/>
        <w:ind w:firstLine="704"/>
        <w:jc w:val="both"/>
        <w:rPr>
          <w:rFonts w:eastAsia="Times New Roman"/>
        </w:rPr>
      </w:pPr>
      <w:r>
        <w:rPr>
          <w:rFonts w:eastAsia="Times New Roman"/>
        </w:rPr>
        <w:t>1 раздел – теория рассматриваемого вопроса.</w:t>
      </w:r>
    </w:p>
    <w:p w:rsidR="00B074D0" w:rsidRDefault="0031131A">
      <w:pPr>
        <w:spacing w:line="360" w:lineRule="auto"/>
        <w:ind w:firstLine="704"/>
        <w:jc w:val="both"/>
        <w:rPr>
          <w:rFonts w:eastAsia="Times New Roman"/>
        </w:rPr>
      </w:pPr>
      <w:r>
        <w:rPr>
          <w:rFonts w:eastAsia="Times New Roman"/>
        </w:rPr>
        <w:t>2 раздел – аналитическая часть.</w:t>
      </w:r>
    </w:p>
    <w:p w:rsidR="00B074D0" w:rsidRDefault="0031131A">
      <w:pPr>
        <w:spacing w:line="360" w:lineRule="auto"/>
        <w:ind w:firstLine="704"/>
        <w:jc w:val="both"/>
        <w:rPr>
          <w:rFonts w:eastAsia="Times New Roman"/>
        </w:rPr>
      </w:pPr>
      <w:r>
        <w:rPr>
          <w:rFonts w:eastAsia="Times New Roman"/>
        </w:rPr>
        <w:t xml:space="preserve">3 раздел – рассматриваются проблемы и возможные пути их решения. </w:t>
      </w:r>
    </w:p>
    <w:p w:rsidR="00B074D0" w:rsidRDefault="0031131A">
      <w:pPr>
        <w:spacing w:line="360" w:lineRule="auto"/>
        <w:ind w:firstLine="704"/>
        <w:jc w:val="both"/>
        <w:rPr>
          <w:rFonts w:eastAsia="Times New Roman"/>
        </w:rPr>
      </w:pPr>
      <w:r>
        <w:rPr>
          <w:rFonts w:eastAsia="Times New Roman"/>
        </w:rPr>
        <w:t>По итогам написания контрольной работы бакалавр должен написать заключение, в котором подвести итог проделанной работе, подчеркнуть основные идеи, высказать собственное мнение по изученному вопросу.</w:t>
      </w:r>
    </w:p>
    <w:p w:rsidR="00B074D0" w:rsidRDefault="0031131A">
      <w:pPr>
        <w:tabs>
          <w:tab w:val="left" w:pos="1134"/>
          <w:tab w:val="right" w:leader="underscore" w:pos="8505"/>
        </w:tabs>
        <w:spacing w:line="360" w:lineRule="auto"/>
        <w:ind w:firstLine="704"/>
        <w:jc w:val="both"/>
        <w:rPr>
          <w:rStyle w:val="dxdefaultcursor"/>
          <w:rFonts w:eastAsia="Times New Roman"/>
          <w:color w:val="000000"/>
        </w:rPr>
      </w:pPr>
      <w:r>
        <w:rPr>
          <w:rStyle w:val="dxdefaultcursor"/>
          <w:rFonts w:eastAsia="Times New Roman"/>
          <w:color w:val="000000"/>
        </w:rPr>
        <w:t xml:space="preserve">5. До начала сессии разместить контрольную работу на портфолио для проверки преподавателю, который ведет дисциплину. </w:t>
      </w:r>
    </w:p>
    <w:p w:rsidR="00B074D0" w:rsidRDefault="0031131A">
      <w:pPr>
        <w:tabs>
          <w:tab w:val="left" w:pos="1134"/>
          <w:tab w:val="right" w:leader="underscore" w:pos="8505"/>
        </w:tabs>
        <w:spacing w:line="360" w:lineRule="auto"/>
        <w:ind w:firstLine="704"/>
        <w:jc w:val="both"/>
        <w:rPr>
          <w:rStyle w:val="dxdefaultcursor"/>
          <w:rFonts w:eastAsia="Times New Roman"/>
          <w:color w:val="000000"/>
        </w:rPr>
      </w:pPr>
      <w:r>
        <w:rPr>
          <w:rStyle w:val="dxdefaultcursor"/>
          <w:rFonts w:eastAsia="Times New Roman"/>
          <w:color w:val="000000"/>
        </w:rPr>
        <w:t>6. Критерии оценивания письменной контрольной работы представлены в таблице 1.</w:t>
      </w:r>
    </w:p>
    <w:p w:rsidR="00B074D0" w:rsidRDefault="00B074D0">
      <w:pPr>
        <w:tabs>
          <w:tab w:val="left" w:pos="1134"/>
          <w:tab w:val="right" w:leader="underscore" w:pos="8505"/>
        </w:tabs>
        <w:spacing w:line="360" w:lineRule="auto"/>
        <w:ind w:firstLine="704"/>
        <w:jc w:val="both"/>
      </w:pPr>
    </w:p>
    <w:p w:rsidR="00B074D0" w:rsidRDefault="00B074D0">
      <w:pPr>
        <w:tabs>
          <w:tab w:val="left" w:pos="1134"/>
          <w:tab w:val="right" w:leader="underscore" w:pos="8505"/>
        </w:tabs>
        <w:spacing w:line="360" w:lineRule="auto"/>
        <w:ind w:firstLine="704"/>
        <w:jc w:val="both"/>
      </w:pPr>
    </w:p>
    <w:p w:rsidR="00B074D0" w:rsidRDefault="00B074D0">
      <w:pPr>
        <w:tabs>
          <w:tab w:val="left" w:pos="1134"/>
          <w:tab w:val="right" w:leader="underscore" w:pos="8505"/>
        </w:tabs>
        <w:spacing w:line="360" w:lineRule="auto"/>
        <w:ind w:firstLine="704"/>
        <w:jc w:val="both"/>
      </w:pPr>
    </w:p>
    <w:p w:rsidR="00B074D0" w:rsidRDefault="00B074D0">
      <w:pPr>
        <w:tabs>
          <w:tab w:val="left" w:pos="1134"/>
          <w:tab w:val="right" w:leader="underscore" w:pos="8505"/>
        </w:tabs>
        <w:spacing w:line="360" w:lineRule="auto"/>
        <w:ind w:firstLine="704"/>
        <w:jc w:val="both"/>
      </w:pPr>
    </w:p>
    <w:p w:rsidR="00B074D0" w:rsidRDefault="00B074D0">
      <w:pPr>
        <w:tabs>
          <w:tab w:val="left" w:pos="1134"/>
          <w:tab w:val="right" w:leader="underscore" w:pos="8505"/>
        </w:tabs>
        <w:spacing w:line="360" w:lineRule="auto"/>
        <w:ind w:firstLine="704"/>
        <w:jc w:val="both"/>
      </w:pPr>
    </w:p>
    <w:p w:rsidR="00B074D0" w:rsidRDefault="00B074D0">
      <w:pPr>
        <w:sectPr w:rsidR="00B074D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B074D0" w:rsidRDefault="0031131A">
      <w:pPr>
        <w:tabs>
          <w:tab w:val="left" w:pos="2574"/>
          <w:tab w:val="right" w:leader="underscore" w:pos="9945"/>
        </w:tabs>
        <w:ind w:left="720"/>
        <w:jc w:val="center"/>
        <w:rPr>
          <w:rFonts w:eastAsia="SimSun"/>
          <w:b/>
        </w:rPr>
      </w:pPr>
      <w:r>
        <w:rPr>
          <w:rFonts w:eastAsia="SimSun"/>
          <w:b/>
        </w:rPr>
        <w:lastRenderedPageBreak/>
        <w:t>ТАБЛИЦА 1 – КРИТЕРИИ ОЦЕНКИ ПИСЬМЕННОЙ КОНТРОЛЬНОЙ РАБОТЫ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520"/>
        <w:gridCol w:w="5202"/>
        <w:gridCol w:w="3891"/>
      </w:tblGrid>
      <w:tr w:rsidR="00B074D0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ind w:left="-108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Рекомендуемая оценка</w:t>
            </w:r>
          </w:p>
        </w:tc>
        <w:tc>
          <w:tcPr>
            <w:tcW w:w="1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D0" w:rsidRDefault="0031131A">
            <w:pPr>
              <w:snapToGrid w:val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Критерий и его вес в общей оценке</w:t>
            </w:r>
          </w:p>
        </w:tc>
      </w:tr>
      <w:tr w:rsidR="00B074D0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B074D0"/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Соответствие материала заявленной теме, полнота раскрытия темы</w:t>
            </w:r>
          </w:p>
          <w:p w:rsidR="00B074D0" w:rsidRDefault="0031131A">
            <w:pPr>
              <w:jc w:val="center"/>
              <w:rPr>
                <w:rFonts w:eastAsia="SimSun"/>
                <w:b/>
                <w:sz w:val="22"/>
                <w:szCs w:val="22"/>
                <w:lang w:val="en-GB"/>
              </w:rPr>
            </w:pPr>
            <w:r>
              <w:rPr>
                <w:rFonts w:eastAsia="SimSun"/>
                <w:b/>
                <w:sz w:val="22"/>
                <w:szCs w:val="22"/>
                <w:lang w:val="en-GB"/>
              </w:rPr>
              <w:t>25 %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Наличие аргументированной критической позиции автора по рассматриваемой проблеме</w:t>
            </w:r>
          </w:p>
          <w:p w:rsidR="00B074D0" w:rsidRDefault="0031131A">
            <w:pPr>
              <w:jc w:val="center"/>
              <w:rPr>
                <w:rFonts w:eastAsia="SimSun"/>
                <w:b/>
                <w:sz w:val="22"/>
                <w:szCs w:val="22"/>
                <w:lang w:val="en-GB"/>
              </w:rPr>
            </w:pPr>
            <w:r>
              <w:rPr>
                <w:rFonts w:eastAsia="SimSun"/>
                <w:b/>
                <w:sz w:val="22"/>
                <w:szCs w:val="22"/>
                <w:lang w:val="en-GB"/>
              </w:rPr>
              <w:t>60%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D0" w:rsidRDefault="0031131A">
            <w:pPr>
              <w:snapToGrid w:val="0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Стиль</w:t>
            </w:r>
            <w:r>
              <w:rPr>
                <w:rFonts w:eastAsia="SimSun"/>
                <w:sz w:val="22"/>
                <w:szCs w:val="22"/>
                <w:lang w:val="en-GB"/>
              </w:rPr>
              <w:t xml:space="preserve"> и </w:t>
            </w:r>
            <w:r>
              <w:rPr>
                <w:rFonts w:eastAsia="SimSun"/>
                <w:sz w:val="22"/>
                <w:szCs w:val="22"/>
              </w:rPr>
              <w:t>последовательность</w:t>
            </w:r>
            <w:r>
              <w:rPr>
                <w:rFonts w:eastAsia="SimSun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SimSun"/>
                <w:sz w:val="22"/>
                <w:szCs w:val="22"/>
              </w:rPr>
              <w:t>изложения</w:t>
            </w:r>
          </w:p>
          <w:p w:rsidR="00B074D0" w:rsidRDefault="0031131A">
            <w:pPr>
              <w:jc w:val="center"/>
              <w:rPr>
                <w:rFonts w:eastAsia="SimSun"/>
                <w:b/>
                <w:sz w:val="22"/>
                <w:szCs w:val="22"/>
                <w:lang w:val="en-GB"/>
              </w:rPr>
            </w:pPr>
            <w:r>
              <w:rPr>
                <w:rFonts w:eastAsia="SimSun"/>
                <w:b/>
                <w:sz w:val="22"/>
                <w:szCs w:val="22"/>
                <w:lang w:val="en-GB"/>
              </w:rPr>
              <w:t>15%</w:t>
            </w:r>
          </w:p>
        </w:tc>
      </w:tr>
      <w:tr w:rsidR="00B074D0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center"/>
              <w:rPr>
                <w:rFonts w:eastAsia="SimSun"/>
                <w:b/>
                <w:sz w:val="22"/>
                <w:szCs w:val="22"/>
                <w:lang w:val="en-GB"/>
              </w:rPr>
            </w:pPr>
            <w:r>
              <w:rPr>
                <w:rFonts w:eastAsia="SimSun"/>
                <w:b/>
                <w:sz w:val="22"/>
                <w:szCs w:val="22"/>
              </w:rPr>
              <w:t>Свыше</w:t>
            </w:r>
            <w:r>
              <w:rPr>
                <w:rFonts w:eastAsia="SimSun"/>
                <w:b/>
                <w:sz w:val="22"/>
                <w:szCs w:val="22"/>
                <w:lang w:val="en-GB"/>
              </w:rPr>
              <w:t xml:space="preserve"> </w:t>
            </w:r>
          </w:p>
          <w:p w:rsidR="00B074D0" w:rsidRDefault="0031131A">
            <w:pPr>
              <w:jc w:val="center"/>
              <w:rPr>
                <w:rFonts w:eastAsia="SimSun"/>
                <w:b/>
                <w:sz w:val="22"/>
                <w:szCs w:val="22"/>
                <w:lang w:val="en-GB"/>
              </w:rPr>
            </w:pPr>
            <w:r>
              <w:rPr>
                <w:rFonts w:eastAsia="SimSun"/>
                <w:b/>
                <w:sz w:val="22"/>
                <w:szCs w:val="22"/>
                <w:lang w:val="en-GB"/>
              </w:rPr>
              <w:t>85 %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Работа полностью соответствует теме, отсутствуют тезисы, не относящиеся к теме.</w:t>
            </w:r>
          </w:p>
          <w:p w:rsidR="00B074D0" w:rsidRDefault="0031131A">
            <w:pPr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Тема полностью раскрыта.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Все аспекты исследуемой проблемы критически оценены автором. По каждому критическому высказыванию автор приводит четкую и логически выстроенную систему аргументов.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  <w:lang w:val="en-GB"/>
              </w:rPr>
            </w:pPr>
            <w:r>
              <w:rPr>
                <w:rFonts w:eastAsia="SimSun"/>
                <w:sz w:val="22"/>
                <w:szCs w:val="22"/>
              </w:rPr>
              <w:t>Высокий уровень владения стилем письменной речи. Материал изложен последовательно</w:t>
            </w:r>
            <w:r>
              <w:rPr>
                <w:rFonts w:eastAsia="SimSun"/>
                <w:sz w:val="22"/>
                <w:szCs w:val="22"/>
                <w:lang w:val="en-GB"/>
              </w:rPr>
              <w:t>.</w:t>
            </w:r>
          </w:p>
        </w:tc>
      </w:tr>
      <w:tr w:rsidR="00B074D0">
        <w:trPr>
          <w:trHeight w:val="3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center"/>
              <w:rPr>
                <w:rFonts w:eastAsia="SimSun"/>
                <w:b/>
                <w:sz w:val="22"/>
                <w:szCs w:val="22"/>
                <w:lang w:val="en-GB"/>
              </w:rPr>
            </w:pPr>
            <w:r>
              <w:rPr>
                <w:rFonts w:eastAsia="SimSun"/>
                <w:b/>
                <w:sz w:val="22"/>
                <w:szCs w:val="22"/>
                <w:lang w:val="en-GB"/>
              </w:rPr>
              <w:t>70-84 %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Работа в основном, соответствует теме, так в отчете автор 1-2 раза приводит тезисы, косвенно относящиеся к рассматриваемому вопросу.</w:t>
            </w:r>
          </w:p>
          <w:p w:rsidR="00B074D0" w:rsidRDefault="0031131A">
            <w:pPr>
              <w:jc w:val="both"/>
              <w:rPr>
                <w:rFonts w:eastAsia="SimSun"/>
                <w:sz w:val="22"/>
                <w:szCs w:val="22"/>
                <w:lang w:val="en-GB"/>
              </w:rPr>
            </w:pPr>
            <w:r>
              <w:rPr>
                <w:rFonts w:eastAsia="SimSun"/>
                <w:sz w:val="22"/>
                <w:szCs w:val="22"/>
              </w:rPr>
              <w:t>Тема полностью раскрыта</w:t>
            </w:r>
            <w:r>
              <w:rPr>
                <w:rFonts w:eastAsia="SimSun"/>
                <w:sz w:val="22"/>
                <w:szCs w:val="22"/>
                <w:lang w:val="en-GB"/>
              </w:rPr>
              <w:t>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  <w:lang w:val="en-GB"/>
              </w:rPr>
            </w:pPr>
            <w:r>
              <w:rPr>
                <w:rFonts w:eastAsia="SimSun"/>
                <w:sz w:val="22"/>
                <w:szCs w:val="22"/>
              </w:rPr>
              <w:t>Практически все аспекты исследуемой проблемы критически оценены автором (можно заметить 1-2 позиции, по которым критическое отношение автора обозначено нечетко). Все критические высказывания аргументированы</w:t>
            </w:r>
            <w:r>
              <w:rPr>
                <w:rFonts w:eastAsia="SimSun"/>
                <w:sz w:val="22"/>
                <w:szCs w:val="22"/>
                <w:lang w:val="en-GB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Достаточно высокий уровень владения стилем письменной речи. Материал изложен последовательно.</w:t>
            </w:r>
          </w:p>
        </w:tc>
      </w:tr>
      <w:tr w:rsidR="00B074D0">
        <w:trPr>
          <w:trHeight w:val="3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center"/>
              <w:rPr>
                <w:rFonts w:eastAsia="SimSun"/>
                <w:b/>
                <w:sz w:val="22"/>
                <w:szCs w:val="22"/>
              </w:rPr>
            </w:pPr>
            <w:r>
              <w:rPr>
                <w:rFonts w:eastAsia="SimSun"/>
                <w:b/>
                <w:sz w:val="22"/>
                <w:szCs w:val="22"/>
              </w:rPr>
              <w:t>60-69 %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Работа в основном, соответствует теме, так в отчете автор более 2 раз приводит тезисы, не относящиеся к теме, но их влияние незначительно. Тема полностью раскрыта.</w:t>
            </w:r>
          </w:p>
          <w:p w:rsidR="00B074D0" w:rsidRDefault="00B074D0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Практически все аспекты исследуемой проблемы критически оценены автором (можно заметить 1-2 позиции, по которым критическое отношение автора обозначено нечетко). Однако аргументация авторской позиции присутствует не по всем заявленным критическим позициям.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  <w:lang w:val="en-GB"/>
              </w:rPr>
            </w:pPr>
            <w:r>
              <w:rPr>
                <w:rFonts w:eastAsia="SimSun"/>
                <w:sz w:val="22"/>
                <w:szCs w:val="22"/>
              </w:rPr>
              <w:t>Уровень владения стилем письменной речи не полностью соответствует принятым стандартам. Материал изложен последовательно</w:t>
            </w:r>
            <w:r>
              <w:rPr>
                <w:rFonts w:eastAsia="SimSun"/>
                <w:sz w:val="22"/>
                <w:szCs w:val="22"/>
                <w:lang w:val="en-GB"/>
              </w:rPr>
              <w:t>.</w:t>
            </w:r>
          </w:p>
        </w:tc>
      </w:tr>
      <w:tr w:rsidR="00B074D0">
        <w:trPr>
          <w:trHeight w:val="3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center"/>
              <w:rPr>
                <w:rFonts w:eastAsia="SimSun"/>
                <w:b/>
                <w:sz w:val="22"/>
                <w:szCs w:val="22"/>
                <w:lang w:val="en-GB"/>
              </w:rPr>
            </w:pPr>
            <w:r>
              <w:rPr>
                <w:rFonts w:eastAsia="SimSun"/>
                <w:b/>
                <w:sz w:val="22"/>
                <w:szCs w:val="22"/>
                <w:lang w:val="en-GB"/>
              </w:rPr>
              <w:t>50-59%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Работа частично соответствует теме, так как в нем преобладают тезисы из других областей, но присутствие тезисов по заявленным вопросам заметно. Тема выдержана автором нечетко.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Критическая позиция автора заметна, однако проявляется далеко не по всем аспектам рассматриваемой темы. Аргументация авторской позиции присутствует не по всем заявленным критическим позициям.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Уровень владения письменной речи не полностью соответствует принятым стандартам. Материал, в целом, изложен последовательно.</w:t>
            </w:r>
          </w:p>
        </w:tc>
      </w:tr>
      <w:tr w:rsidR="00B074D0">
        <w:trPr>
          <w:trHeight w:val="3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center"/>
              <w:rPr>
                <w:rFonts w:eastAsia="SimSun"/>
                <w:b/>
                <w:sz w:val="22"/>
                <w:szCs w:val="22"/>
                <w:lang w:val="en-GB"/>
              </w:rPr>
            </w:pPr>
            <w:r>
              <w:rPr>
                <w:rFonts w:eastAsia="SimSun"/>
                <w:b/>
                <w:sz w:val="22"/>
                <w:szCs w:val="22"/>
                <w:lang w:val="en-GB"/>
              </w:rPr>
              <w:t>45-49%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Работа частично соответствует теме, так как в отчете автор отклоняется от темы, приводит в большом количестве факты из других областей. Автор не делает акцент на присутствие тезисов по заявленной теме.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Критическая позиция автора прослеживается слабо. Автор, как правило, только фиксирует информацию, но не оценивает ее (тем не менее, отдельные моменты критики присутствуют). В этой связи аргументация авторской позиции слабая.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Удовлетворительный уровень владения стилем письменной речи. Материал по ряду позиций изложен непоследовательно. </w:t>
            </w:r>
          </w:p>
        </w:tc>
      </w:tr>
      <w:tr w:rsidR="00B074D0">
        <w:trPr>
          <w:trHeight w:val="3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center"/>
              <w:rPr>
                <w:rFonts w:eastAsia="SimSun"/>
                <w:b/>
                <w:sz w:val="22"/>
                <w:szCs w:val="22"/>
                <w:lang w:val="en-GB"/>
              </w:rPr>
            </w:pPr>
            <w:r>
              <w:rPr>
                <w:rFonts w:eastAsia="SimSun"/>
                <w:b/>
                <w:sz w:val="22"/>
                <w:szCs w:val="22"/>
                <w:lang w:val="en-GB"/>
              </w:rPr>
              <w:t>0-44%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Работа не соответствует теме, автор использовал материал по другим вопросам. Тема не раскрыта.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Критическая позиция автора отсутствует, автор по ходу всего отчета только фиксирует информацию, но не оценивает ее. В этой связи аргументация авторской позиции как таковая отсутствует.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D0" w:rsidRDefault="0031131A">
            <w:pPr>
              <w:snapToGrid w:val="0"/>
              <w:jc w:val="both"/>
              <w:rPr>
                <w:rFonts w:eastAsia="SimSun"/>
                <w:sz w:val="22"/>
                <w:szCs w:val="22"/>
                <w:lang w:val="en-GB"/>
              </w:rPr>
            </w:pPr>
            <w:r>
              <w:rPr>
                <w:rFonts w:eastAsia="SimSun"/>
                <w:sz w:val="22"/>
                <w:szCs w:val="22"/>
              </w:rPr>
              <w:t>Крайне низкий уровень владения стилем письменной речи, использованы недопустимые бытовые речевые обороты. Материал изложен непоследовательно</w:t>
            </w:r>
            <w:r>
              <w:rPr>
                <w:rFonts w:eastAsia="SimSun"/>
                <w:sz w:val="22"/>
                <w:szCs w:val="22"/>
                <w:lang w:val="en-GB"/>
              </w:rPr>
              <w:t>.</w:t>
            </w:r>
          </w:p>
        </w:tc>
      </w:tr>
    </w:tbl>
    <w:p w:rsidR="0031131A" w:rsidRDefault="0031131A"/>
    <w:sectPr w:rsidR="0031131A">
      <w:footnotePr>
        <w:pos w:val="beneathText"/>
      </w:footnotePr>
      <w:pgSz w:w="16837" w:h="11905" w:orient="landscape"/>
      <w:pgMar w:top="851" w:right="567" w:bottom="851" w:left="567" w:header="720" w:footer="720" w:gutter="0"/>
      <w:cols w:space="72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62"/>
    <w:rsid w:val="001A0D62"/>
    <w:rsid w:val="0031131A"/>
    <w:rsid w:val="00436972"/>
    <w:rsid w:val="00B074D0"/>
    <w:rsid w:val="00D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7BE37-6F86-4E2A-8B44-E814CA44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480" w:line="360" w:lineRule="auto"/>
      <w:jc w:val="center"/>
      <w:outlineLvl w:val="0"/>
    </w:pPr>
    <w:rPr>
      <w:caps/>
      <w:color w:val="000000"/>
      <w:sz w:val="28"/>
      <w:szCs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480" w:after="480" w:line="360" w:lineRule="auto"/>
      <w:jc w:val="center"/>
      <w:outlineLvl w:val="2"/>
    </w:pPr>
    <w:rPr>
      <w:caps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i/>
    </w:rPr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Heading1Char">
    <w:name w:val="Heading 1 Char"/>
    <w:basedOn w:val="10"/>
    <w:rPr>
      <w:rFonts w:ascii="Times New Roman" w:hAnsi="Times New Roman" w:cs="Times New Roman"/>
      <w:caps/>
      <w:color w:val="000000"/>
      <w:sz w:val="32"/>
      <w:szCs w:val="32"/>
    </w:rPr>
  </w:style>
  <w:style w:type="character" w:customStyle="1" w:styleId="Heading3Char">
    <w:name w:val="Heading 3 Char"/>
    <w:basedOn w:val="10"/>
    <w:rPr>
      <w:rFonts w:ascii="Times New Roman" w:hAnsi="Times New Roman" w:cs="Times New Roman"/>
      <w:caps/>
      <w:color w:val="000000"/>
      <w:sz w:val="24"/>
      <w:szCs w:val="24"/>
    </w:rPr>
  </w:style>
  <w:style w:type="character" w:customStyle="1" w:styleId="dxdefaultcursor">
    <w:name w:val="dxdefaultcursor"/>
    <w:basedOn w:val="10"/>
    <w:rPr>
      <w:rFonts w:cs="Times New Roman"/>
    </w:rPr>
  </w:style>
  <w:style w:type="character" w:customStyle="1" w:styleId="Heading2Char">
    <w:name w:val="Heading 2 Char"/>
    <w:basedOn w:val="10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basedOn w:val="10"/>
    <w:rPr>
      <w:rFonts w:ascii="Times New Roman" w:hAnsi="Times New Roman" w:cs="Times New Roman"/>
      <w:sz w:val="20"/>
      <w:szCs w:val="20"/>
      <w:lang w:val="x-none"/>
    </w:rPr>
  </w:style>
  <w:style w:type="character" w:customStyle="1" w:styleId="ListLabel1">
    <w:name w:val="ListLabel 1"/>
    <w:rPr>
      <w:i/>
    </w:rPr>
  </w:style>
  <w:style w:type="character" w:customStyle="1" w:styleId="a4">
    <w:name w:val="Символ нумерации"/>
  </w:style>
  <w:style w:type="character" w:styleId="a5">
    <w:name w:val="Hyperlink"/>
    <w:semiHidden/>
    <w:rPr>
      <w:color w:val="0000FF"/>
      <w:u w:val="single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6">
    <w:name w:val="List"/>
    <w:basedOn w:val="a0"/>
    <w:semiHidden/>
    <w:rPr>
      <w:rFonts w:cs="Tahoma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semiHidden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a9">
    <w:name w:val="Содержимое таблицы"/>
    <w:basedOn w:val="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УрГЭУ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Евгений Кислицын</dc:creator>
  <cp:keywords/>
  <cp:lastModifiedBy>Наталья Сальникова</cp:lastModifiedBy>
  <cp:revision>2</cp:revision>
  <cp:lastPrinted>1899-12-31T19:00:00Z</cp:lastPrinted>
  <dcterms:created xsi:type="dcterms:W3CDTF">2021-09-30T05:51:00Z</dcterms:created>
  <dcterms:modified xsi:type="dcterms:W3CDTF">2021-09-30T05:51:00Z</dcterms:modified>
</cp:coreProperties>
</file>