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72" w:rsidRDefault="00ED0E72" w:rsidP="00ED0E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F461D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4.1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Fonts w:ascii="Times New Roman" w:hAnsi="Times New Roman" w:cs="Times New Roman"/>
          <w:sz w:val="28"/>
          <w:szCs w:val="28"/>
        </w:rPr>
        <w:br/>
      </w:r>
      <w:r w:rsidRPr="005F461D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Style w:val="markedcontent"/>
          <w:rFonts w:ascii="Times New Roman" w:hAnsi="Times New Roman" w:cs="Times New Roman"/>
          <w:i/>
          <w:sz w:val="28"/>
          <w:szCs w:val="28"/>
        </w:rPr>
        <w:t>Поляризация электромагнитных волн.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Fonts w:ascii="Times New Roman" w:hAnsi="Times New Roman" w:cs="Times New Roman"/>
          <w:sz w:val="28"/>
          <w:szCs w:val="28"/>
        </w:rPr>
        <w:br/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Два источника излучают </w:t>
      </w:r>
      <w:proofErr w:type="spellStart"/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>ленейно-поляризованные</w:t>
      </w:r>
      <w:proofErr w:type="spellEnd"/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электромагнитные волны. Вдали от источников в некоторой рассматриваемой ограниченной области поле излучения распространяется в виде плоских волн в положительном направлении оси</w:t>
      </w:r>
      <w:proofErr w:type="gramStart"/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53190">
        <w:rPr>
          <w:rStyle w:val="markedcontent"/>
          <w:rFonts w:ascii="Times New Roman" w:hAnsi="Times New Roman" w:cs="Times New Roman"/>
          <w:position w:val="-6"/>
          <w:sz w:val="28"/>
          <w:szCs w:val="28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05pt;height:15.05pt" o:ole="">
            <v:imagedata r:id="rId4" o:title=""/>
          </v:shape>
          <o:OLEObject Type="Embed" ProgID="Equation.3" ShapeID="_x0000_i1032" DrawAspect="Content" ObjectID="_1696251123" r:id="rId5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0E72" w:rsidRPr="00A5123C" w:rsidRDefault="00ED0E72" w:rsidP="00ED0E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5123C">
        <w:rPr>
          <w:rStyle w:val="markedcontent"/>
          <w:rFonts w:ascii="Times New Roman" w:hAnsi="Times New Roman" w:cs="Times New Roman"/>
          <w:position w:val="-16"/>
          <w:sz w:val="28"/>
          <w:szCs w:val="28"/>
        </w:rPr>
        <w:object w:dxaOrig="3540" w:dyaOrig="460">
          <v:shape id="_x0000_i1025" type="#_x0000_t75" style="width:177.2pt;height:23.15pt" o:ole="">
            <v:imagedata r:id="rId6" o:title=""/>
          </v:shape>
          <o:OLEObject Type="Embed" ProgID="Equation.3" ShapeID="_x0000_i1025" DrawAspect="Content" ObjectID="_1696251124" r:id="rId7"/>
        </w:object>
      </w:r>
      <w:r w:rsidRPr="00A5123C"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:rsidR="00ED0E72" w:rsidRPr="00ED0E72" w:rsidRDefault="00ED0E72" w:rsidP="00ED0E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5123C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3560" w:dyaOrig="420">
          <v:shape id="_x0000_i1026" type="#_x0000_t75" style="width:177.8pt;height:21.3pt" o:ole="">
            <v:imagedata r:id="rId8" o:title=""/>
          </v:shape>
          <o:OLEObject Type="Embed" ProgID="Equation.3" ShapeID="_x0000_i1026" DrawAspect="Content" ObjectID="_1696251125" r:id="rId9"/>
        </w:object>
      </w:r>
      <w:r w:rsidRPr="00A5123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F461D">
        <w:rPr>
          <w:rFonts w:ascii="Times New Roman" w:hAnsi="Times New Roman" w:cs="Times New Roman"/>
          <w:sz w:val="28"/>
          <w:szCs w:val="28"/>
        </w:rPr>
        <w:br/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где </w:t>
      </w:r>
      <w:r w:rsidRPr="00277354">
        <w:rPr>
          <w:rStyle w:val="markedcontent"/>
          <w:rFonts w:ascii="Times New Roman" w:hAnsi="Times New Roman" w:cs="Times New Roman"/>
          <w:position w:val="-10"/>
          <w:sz w:val="28"/>
          <w:szCs w:val="28"/>
        </w:rPr>
        <w:object w:dxaOrig="1780" w:dyaOrig="380">
          <v:shape id="_x0000_i1027" type="#_x0000_t75" style="width:88.9pt;height:18.8pt" o:ole="">
            <v:imagedata r:id="rId10" o:title=""/>
          </v:shape>
          <o:OLEObject Type="Embed" ProgID="Equation.3" ShapeID="_x0000_i1027" DrawAspect="Content" ObjectID="_1696251126" r:id="rId11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, амплитуды </w:t>
      </w:r>
      <w:r w:rsidRPr="00277354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8" type="#_x0000_t75" style="width:18.8pt;height:18.8pt" o:ole="">
            <v:imagedata r:id="rId12" o:title=""/>
          </v:shape>
          <o:OLEObject Type="Embed" ProgID="Equation.3" ShapeID="_x0000_i1028" DrawAspect="Content" ObjectID="_1696251127" r:id="rId13"/>
        </w:objec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773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77354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29" type="#_x0000_t75" style="width:20.05pt;height:18.8pt" o:ole="">
            <v:imagedata r:id="rId14" o:title=""/>
          </v:shape>
          <o:OLEObject Type="Embed" ProgID="Equation.3" ShapeID="_x0000_i1029" DrawAspect="Content" ObjectID="_1696251128" r:id="rId15"/>
        </w:object>
      </w:r>
      <w:r w:rsidRPr="002773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и начальные фазы </w:t>
      </w:r>
      <w:r w:rsidRPr="00277354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30" type="#_x0000_t75" style="width:13.75pt;height:18.8pt" o:ole="">
            <v:imagedata r:id="rId16" o:title=""/>
          </v:shape>
          <o:OLEObject Type="Embed" ProgID="Equation.3" ShapeID="_x0000_i1030" DrawAspect="Content" ObjectID="_1696251129" r:id="rId17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773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77354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1" type="#_x0000_t75" style="width:15.05pt;height:18.8pt" o:ole="">
            <v:imagedata r:id="rId18" o:title=""/>
          </v:shape>
          <o:OLEObject Type="Embed" ProgID="Equation.3" ShapeID="_x0000_i1031" DrawAspect="Content" ObjectID="_1696251130" r:id="rId19"/>
        </w:object>
      </w:r>
      <w:r w:rsidRPr="002773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заданы в таблице вариантов </w:t>
      </w:r>
      <w:r w:rsidRPr="00277354">
        <w:rPr>
          <w:rStyle w:val="markedcontent"/>
          <w:rFonts w:ascii="Times New Roman" w:hAnsi="Times New Roman" w:cs="Times New Roman"/>
          <w:b/>
          <w:sz w:val="28"/>
          <w:szCs w:val="28"/>
        </w:rPr>
        <w:t>4.1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>. Изобр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азите графически в плоскости </w:t>
      </w:r>
      <w:r w:rsidRPr="00E53190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3" type="#_x0000_t75" style="width:26.9pt;height:18.15pt" o:ole="">
            <v:imagedata r:id="rId20" o:title=""/>
          </v:shape>
          <o:OLEObject Type="Embed" ProgID="Equation.3" ShapeID="_x0000_i1033" DrawAspect="Content" ObjectID="_1696251131" r:id="rId21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положение вектора результирующей электромагнитной волны в точке с координатой </w:t>
      </w:r>
      <w:r w:rsidRPr="001853BC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34" type="#_x0000_t75" style="width:13.75pt;height:18.8pt" o:ole="">
            <v:imagedata r:id="rId22" o:title=""/>
          </v:shape>
          <o:OLEObject Type="Embed" ProgID="Equation.3" ShapeID="_x0000_i1034" DrawAspect="Content" ObjectID="_1696251132" r:id="rId23"/>
        </w:object>
      </w:r>
      <w:r w:rsidRPr="001853B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в последовательные моменты времени </w:t>
      </w:r>
      <w:r w:rsidRPr="00E53190">
        <w:rPr>
          <w:rStyle w:val="markedcontent"/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35" type="#_x0000_t75" style="width:11.25pt;height:18.8pt" o:ole="">
            <v:imagedata r:id="rId24" o:title=""/>
          </v:shape>
          <o:OLEObject Type="Embed" ProgID="Equation.3" ShapeID="_x0000_i1035" DrawAspect="Content" ObjectID="_1696251133" r:id="rId25"/>
        </w:objec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F34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Определите тип поляризации результирующей волны. </w:t>
      </w:r>
      <w:r w:rsidRPr="005F461D">
        <w:rPr>
          <w:rFonts w:ascii="Times New Roman" w:hAnsi="Times New Roman" w:cs="Times New Roman"/>
          <w:sz w:val="28"/>
          <w:szCs w:val="28"/>
        </w:rPr>
        <w:br/>
      </w:r>
      <w:r w:rsidRPr="0076378E">
        <w:rPr>
          <w:rStyle w:val="markedcontent"/>
          <w:rFonts w:ascii="Times New Roman" w:hAnsi="Times New Roman" w:cs="Times New Roman"/>
          <w:b/>
          <w:sz w:val="28"/>
          <w:szCs w:val="28"/>
        </w:rPr>
        <w:t>Указание.</w: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Для нечетных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вариантов рекомендуется выбрать</w:t>
      </w:r>
      <w:r w:rsidRPr="004F34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F3421">
        <w:rPr>
          <w:rStyle w:val="markedcontent"/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036" type="#_x0000_t75" style="width:134pt;height:35.05pt" o:ole="">
            <v:imagedata r:id="rId26" o:title=""/>
          </v:shape>
          <o:OLEObject Type="Embed" ProgID="Equation.3" ShapeID="_x0000_i1036" DrawAspect="Content" ObjectID="_1696251134" r:id="rId27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F34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для четных</w:t>
      </w:r>
      <w:r w:rsidRPr="004F34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F3421">
        <w:rPr>
          <w:rStyle w:val="markedcontent"/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37" type="#_x0000_t75" style="width:127.1pt;height:36.3pt" o:ole="">
            <v:imagedata r:id="rId28" o:title=""/>
          </v:shape>
          <o:OLEObject Type="Embed" ProgID="Equation.3" ShapeID="_x0000_i1037" DrawAspect="Content" ObjectID="_1696251135" r:id="rId29"/>
        </w:objec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F34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где </w:t>
      </w:r>
      <w:r w:rsidRPr="00FB228F">
        <w:rPr>
          <w:rStyle w:val="markedcontent"/>
          <w:rFonts w:ascii="Times New Roman" w:hAnsi="Times New Roman" w:cs="Times New Roman"/>
          <w:position w:val="-4"/>
          <w:sz w:val="28"/>
          <w:szCs w:val="28"/>
        </w:rPr>
        <w:object w:dxaOrig="240" w:dyaOrig="279">
          <v:shape id="_x0000_i1038" type="#_x0000_t75" style="width:11.9pt;height:13.75pt" o:ole="">
            <v:imagedata r:id="rId30" o:title=""/>
          </v:shape>
          <o:OLEObject Type="Embed" ProgID="Equation.3" ShapeID="_x0000_i1038" DrawAspect="Content" ObjectID="_1696251136" r:id="rId31"/>
        </w:object>
      </w:r>
      <w:r w:rsidRPr="005F461D">
        <w:rPr>
          <w:rStyle w:val="markedcontent"/>
          <w:rFonts w:ascii="Times New Roman" w:hAnsi="Times New Roman" w:cs="Times New Roman"/>
          <w:sz w:val="28"/>
          <w:szCs w:val="28"/>
        </w:rPr>
        <w:t xml:space="preserve"> - период волны.</w:t>
      </w:r>
      <w:proofErr w:type="gramEnd"/>
    </w:p>
    <w:p w:rsidR="00ED0E72" w:rsidRPr="00ED0E72" w:rsidRDefault="00ED0E72" w:rsidP="00ED0E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0E72" w:rsidRPr="00DE1BE9" w:rsidRDefault="00ED0E72" w:rsidP="00ED0E7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DE1BE9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Значение параметров по вариантам</w:t>
      </w:r>
    </w:p>
    <w:p w:rsidR="00ED0E72" w:rsidRPr="00DE1BE9" w:rsidRDefault="00ED0E72" w:rsidP="00ED0E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0E72" w:rsidRPr="00ED0E72" w:rsidRDefault="00ED0E72" w:rsidP="00ED0E7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E538D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</w:t>
      </w:r>
      <w:r w:rsidRPr="00ED0E72">
        <w:rPr>
          <w:rStyle w:val="markedcontent"/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5000" w:type="pct"/>
        <w:tblLook w:val="04A0"/>
      </w:tblPr>
      <w:tblGrid>
        <w:gridCol w:w="1840"/>
        <w:gridCol w:w="1707"/>
        <w:gridCol w:w="1707"/>
        <w:gridCol w:w="1587"/>
        <w:gridCol w:w="1587"/>
        <w:gridCol w:w="1143"/>
      </w:tblGrid>
      <w:tr w:rsidR="00ED0E72" w:rsidRPr="005F461D" w:rsidTr="00BE2517">
        <w:trPr>
          <w:trHeight w:val="585"/>
        </w:trPr>
        <w:tc>
          <w:tcPr>
            <w:tcW w:w="961" w:type="pct"/>
          </w:tcPr>
          <w:p w:rsidR="00ED0E72" w:rsidRPr="005F461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Вариант</w:t>
            </w:r>
          </w:p>
        </w:tc>
        <w:tc>
          <w:tcPr>
            <w:tcW w:w="892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E</w:t>
            </w:r>
            <w:r w:rsidRPr="00CE374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  <w:lang w:val="en-US"/>
              </w:rPr>
              <w:t>10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 xml:space="preserve">, 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В/м</w:t>
            </w:r>
          </w:p>
        </w:tc>
        <w:tc>
          <w:tcPr>
            <w:tcW w:w="892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E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</w:rPr>
              <w:t>2</w:t>
            </w:r>
            <w:r w:rsidRPr="00CE374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  <w:lang w:val="en-US"/>
              </w:rPr>
              <w:t>0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 xml:space="preserve">, 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В/м</w:t>
            </w:r>
          </w:p>
        </w:tc>
        <w:tc>
          <w:tcPr>
            <w:tcW w:w="829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φ</w:t>
            </w:r>
            <w:r w:rsidRPr="00CE374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</w:rPr>
              <w:t>1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, рад</w:t>
            </w:r>
          </w:p>
        </w:tc>
        <w:tc>
          <w:tcPr>
            <w:tcW w:w="829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φ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</w:rPr>
              <w:t>2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, рад</w:t>
            </w:r>
          </w:p>
        </w:tc>
        <w:tc>
          <w:tcPr>
            <w:tcW w:w="597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x</w:t>
            </w:r>
            <w:r w:rsidRPr="00CE374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  <w:lang w:val="en-US"/>
              </w:rPr>
              <w:t>0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 xml:space="preserve">, 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</w:t>
            </w:r>
          </w:p>
        </w:tc>
      </w:tr>
      <w:tr w:rsidR="00ED0E72" w:rsidTr="00BE2517">
        <w:tc>
          <w:tcPr>
            <w:tcW w:w="961" w:type="pct"/>
          </w:tcPr>
          <w:p w:rsidR="00ED0E72" w:rsidRPr="005F461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17</w:t>
            </w:r>
          </w:p>
        </w:tc>
        <w:tc>
          <w:tcPr>
            <w:tcW w:w="892" w:type="pct"/>
          </w:tcPr>
          <w:p w:rsidR="00ED0E72" w:rsidRPr="00CE374D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3</w:t>
            </w:r>
          </w:p>
        </w:tc>
        <w:tc>
          <w:tcPr>
            <w:tcW w:w="892" w:type="pct"/>
          </w:tcPr>
          <w:p w:rsidR="00ED0E72" w:rsidRPr="002563A9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1</w:t>
            </w:r>
          </w:p>
        </w:tc>
        <w:tc>
          <w:tcPr>
            <w:tcW w:w="829" w:type="pct"/>
          </w:tcPr>
          <w:p w:rsidR="00ED0E72" w:rsidRPr="002563A9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0</w:t>
            </w:r>
          </w:p>
        </w:tc>
        <w:tc>
          <w:tcPr>
            <w:tcW w:w="829" w:type="pct"/>
          </w:tcPr>
          <w:p w:rsidR="00ED0E72" w:rsidRPr="002563A9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lang w:val="en-US"/>
              </w:rPr>
              <w:t>2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π</w:t>
            </w:r>
            <w:r>
              <w:rPr>
                <w:rStyle w:val="markedcontent"/>
                <w:rFonts w:ascii="Arial" w:hAnsi="Arial" w:cs="Arial"/>
                <w:sz w:val="25"/>
                <w:szCs w:val="25"/>
                <w:lang w:val="en-US"/>
              </w:rPr>
              <w:t>/3</w:t>
            </w:r>
          </w:p>
        </w:tc>
        <w:tc>
          <w:tcPr>
            <w:tcW w:w="597" w:type="pct"/>
          </w:tcPr>
          <w:p w:rsidR="00ED0E72" w:rsidRPr="002563A9" w:rsidRDefault="00ED0E7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lang w:val="en-US"/>
              </w:rPr>
              <w:t>200</w:t>
            </w:r>
          </w:p>
        </w:tc>
      </w:tr>
    </w:tbl>
    <w:p w:rsidR="00ED0E72" w:rsidRDefault="00ED0E72" w:rsidP="00ED0E7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6D3A37" w:rsidRDefault="006D3A37"/>
    <w:sectPr w:rsidR="006D3A37" w:rsidSect="006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E72"/>
    <w:rsid w:val="006D3A37"/>
    <w:rsid w:val="00ED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D0E72"/>
  </w:style>
  <w:style w:type="table" w:styleId="a3">
    <w:name w:val="Table Grid"/>
    <w:basedOn w:val="a1"/>
    <w:uiPriority w:val="59"/>
    <w:rsid w:val="00ED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2021-10-20T13:02:00Z</dcterms:created>
  <dcterms:modified xsi:type="dcterms:W3CDTF">2021-10-20T13:02:00Z</dcterms:modified>
</cp:coreProperties>
</file>