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58" w:rsidRPr="007E3358" w:rsidRDefault="007E3358" w:rsidP="007E3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ВТОРОЙ РАЗДЕЛ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u w:val="single" w:color="000000"/>
        </w:rPr>
        <w:t>Физические свойства материалов.</w:t>
      </w: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u w:val="single" w:color="000000"/>
        </w:rPr>
        <w:t>Теплопроводность, гипотеза Фурье, температурный градиент и тепловой поток.</w:t>
      </w: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  <w:r w:rsidRPr="007E3358">
        <w:rPr>
          <w:rFonts w:ascii="Times New Roman" w:hAnsi="Times New Roman" w:cs="Times New Roman"/>
          <w:sz w:val="28"/>
          <w:szCs w:val="28"/>
          <w:u w:val="single" w:color="000000"/>
        </w:rPr>
        <w:t>Тепловое расширение твердых тел.</w:t>
      </w:r>
      <w:r w:rsidRPr="007E33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Задача</w:t>
      </w:r>
      <w:proofErr w:type="gramStart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1</w:t>
      </w:r>
      <w:proofErr w:type="gramEnd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  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Металлическая стенка камеры площадью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F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покрыта с одной стороны слоем изоляции. Температура внутренней неизолированной поверхности 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proofErr w:type="spellEnd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1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, а наружной поверхности изоляции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– t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3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, толщина стенки и изоляции соответственно δ1 и δ2.  Определить потери тепла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Q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через стенку, плотность теплового потока </w:t>
      </w:r>
      <w:proofErr w:type="spellStart"/>
      <w:r w:rsidRPr="007E3358">
        <w:rPr>
          <w:rFonts w:ascii="Times New Roman" w:hAnsi="Times New Roman" w:cs="Times New Roman"/>
          <w:sz w:val="28"/>
          <w:szCs w:val="28"/>
          <w:highlight w:val="green"/>
        </w:rPr>
        <w:t>q</w:t>
      </w:r>
      <w:proofErr w:type="spellEnd"/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и температуру между поверхностью стенки и изоляции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2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>.  Коэффициенты теплопроводности стенки λ1 и изоляции λ2 принять по средним значениям их температур.  Исходные данные выбрать из приведенных ниже таблиц.</w:t>
      </w:r>
      <w:r w:rsidRPr="007E335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3358" w:rsidRPr="007E3358" w:rsidRDefault="007E3358" w:rsidP="007E3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Таблица исходных данных </w:t>
      </w:r>
    </w:p>
    <w:tbl>
      <w:tblPr>
        <w:tblStyle w:val="TableGrid"/>
        <w:tblW w:w="9573" w:type="dxa"/>
        <w:tblInd w:w="7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1435"/>
        <w:gridCol w:w="835"/>
        <w:gridCol w:w="838"/>
        <w:gridCol w:w="914"/>
        <w:gridCol w:w="851"/>
        <w:gridCol w:w="1982"/>
        <w:gridCol w:w="1921"/>
        <w:gridCol w:w="797"/>
      </w:tblGrid>
      <w:tr w:rsidR="007E3358" w:rsidRPr="007E3358" w:rsidTr="002B235D">
        <w:trPr>
          <w:trHeight w:val="305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цифра номера зачетной книжки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δ 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δ 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 м  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стенок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F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358" w:rsidRPr="007E3358" w:rsidTr="002B235D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изоляция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358" w:rsidRPr="007E3358" w:rsidTr="002B235D">
        <w:trPr>
          <w:trHeight w:val="28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9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600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400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0,038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0,06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Медь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Диамитовый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кирпич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3,8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Таблица теплофизических свойств материалов</w:t>
      </w:r>
      <w:r w:rsidRPr="007E33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tbl>
      <w:tblPr>
        <w:tblStyle w:val="TableGrid"/>
        <w:tblW w:w="9573" w:type="dxa"/>
        <w:tblInd w:w="7" w:type="dxa"/>
        <w:tblCellMar>
          <w:top w:w="5" w:type="dxa"/>
          <w:left w:w="106" w:type="dxa"/>
          <w:right w:w="49" w:type="dxa"/>
        </w:tblCellMar>
        <w:tblLook w:val="04A0"/>
      </w:tblPr>
      <w:tblGrid>
        <w:gridCol w:w="2042"/>
        <w:gridCol w:w="1076"/>
        <w:gridCol w:w="1075"/>
        <w:gridCol w:w="1076"/>
        <w:gridCol w:w="1075"/>
        <w:gridCol w:w="1075"/>
        <w:gridCol w:w="1078"/>
        <w:gridCol w:w="1076"/>
      </w:tblGrid>
      <w:tr w:rsidR="007E3358" w:rsidRPr="007E3358" w:rsidTr="002B235D">
        <w:trPr>
          <w:trHeight w:val="422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теплопроводности λ для стали и сплавов, 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/(м·К)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tabs>
                <w:tab w:val="right" w:pos="18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металла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или сплава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Температура, 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</w:tr>
      <w:tr w:rsidR="007E3358" w:rsidRPr="007E3358" w:rsidTr="002B235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</w:p>
        </w:tc>
      </w:tr>
      <w:tr w:rsidR="007E3358" w:rsidRPr="007E3358" w:rsidTr="002B235D">
        <w:trPr>
          <w:trHeight w:val="42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 15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54,2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50,2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46,0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41,9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37,7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33,5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29,8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 30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50,2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46,0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41,9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37,7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33,5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29,3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28,7 </w:t>
            </w:r>
          </w:p>
        </w:tc>
      </w:tr>
      <w:tr w:rsidR="007E3358" w:rsidRPr="007E3358" w:rsidTr="002B235D">
        <w:trPr>
          <w:trHeight w:val="4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Сталь1Х13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24,0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24,4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25,5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Сталь2Х13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24,3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26,2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Сталь3Х13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24,6 </w:t>
            </w:r>
          </w:p>
        </w:tc>
      </w:tr>
      <w:tr w:rsidR="007E3358" w:rsidRPr="007E3358" w:rsidTr="002B235D">
        <w:trPr>
          <w:trHeight w:val="4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Сталь4Х13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28,0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29,1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29,3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29,2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28,8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28,4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28,0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СтальХ28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20,9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21,7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22,7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23,4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26,4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Алюминий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206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229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319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371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422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471 </w:t>
            </w:r>
          </w:p>
        </w:tc>
      </w:tr>
      <w:tr w:rsidR="007E3358" w:rsidRPr="007E3358" w:rsidTr="002B235D">
        <w:trPr>
          <w:trHeight w:val="4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Алюминий92/8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123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165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193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252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308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343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Алюминий 80/20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169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174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186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205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263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315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358 </w:t>
            </w:r>
          </w:p>
        </w:tc>
      </w:tr>
      <w:tr w:rsidR="007E3358" w:rsidRPr="007E3358" w:rsidTr="002B235D">
        <w:trPr>
          <w:trHeight w:val="42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Латунь 90/10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117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134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149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166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180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195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</w:tr>
      <w:tr w:rsidR="007E3358" w:rsidRPr="007E3358" w:rsidTr="002B235D">
        <w:trPr>
          <w:trHeight w:val="42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Медь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385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378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371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365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359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354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</w:p>
        </w:tc>
      </w:tr>
      <w:tr w:rsidR="007E3358" w:rsidRPr="007E3358" w:rsidTr="002B235D">
        <w:trPr>
          <w:trHeight w:val="838"/>
        </w:trPr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теплопроводности λ, 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/(м·К) и предельная температура для изоляционных материалов </w:t>
            </w:r>
            <w:proofErr w:type="spellStart"/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 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материала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λ, 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/(м·К)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Асбест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0,130 + 0,00019·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</w:p>
        </w:tc>
      </w:tr>
      <w:tr w:rsidR="007E3358" w:rsidRPr="007E3358" w:rsidTr="002B235D">
        <w:trPr>
          <w:trHeight w:val="422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Асбозонолит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0,143 + 0,00019·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Асбослюда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0,120 + 0,00015·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Асботермит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0,109 + 0,00015·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</w:tc>
      </w:tr>
      <w:tr w:rsidR="007E3358" w:rsidRPr="007E3358" w:rsidTr="002B235D">
        <w:trPr>
          <w:trHeight w:val="422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Зонолит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0,072 + 0,00026·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Совелит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0,090 + 0,00010·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Шлаковая вата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0,060 + 0,00014·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</w:p>
        </w:tc>
      </w:tr>
      <w:tr w:rsidR="007E3358" w:rsidRPr="007E3358" w:rsidTr="002B235D">
        <w:trPr>
          <w:trHeight w:val="423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Вермикулитовые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плиты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0,081 + 0,00015·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750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Вулканитовые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плиты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0,080 + 0,00021·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</w:p>
        </w:tc>
      </w:tr>
      <w:tr w:rsidR="007E3358" w:rsidRPr="007E3358" w:rsidTr="002B235D">
        <w:trPr>
          <w:trHeight w:val="425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Диамитовый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кирпич </w:t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0,113 + 0,00023·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800 </w:t>
            </w:r>
          </w:p>
        </w:tc>
      </w:tr>
    </w:tbl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Литература: [4 с. 307-311, 316-321].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Решение задачи требует знания основного закона теплопроводности (закона Фурье) и условий однозначности при передаче тепла теплопроводностью, градиента температуры, теплового потока, видеть связь между этими понятиями. </w:t>
      </w:r>
      <w:proofErr w:type="gramStart"/>
      <w:r w:rsidRPr="007E3358">
        <w:rPr>
          <w:rFonts w:ascii="Times New Roman" w:hAnsi="Times New Roman" w:cs="Times New Roman"/>
          <w:sz w:val="28"/>
          <w:szCs w:val="28"/>
        </w:rPr>
        <w:t>Важно, также, понимать в основном законе физический смысл коэффициента теплопроводности λ вещества и знать его зависимость от температуры вещества, учитывая, что для большинства материалов эта зависимость оказывается почти линейной, т. е. можно записать: λ = λ</w:t>
      </w:r>
      <w:r w:rsidRPr="007E335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E3358">
        <w:rPr>
          <w:rFonts w:ascii="Times New Roman" w:hAnsi="Times New Roman" w:cs="Times New Roman"/>
          <w:sz w:val="28"/>
          <w:szCs w:val="28"/>
        </w:rPr>
        <w:t xml:space="preserve">·[1 + 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</w:rPr>
        <w:t>b</w:t>
      </w:r>
      <w:proofErr w:type="spellEnd"/>
      <w:r w:rsidRPr="007E3358">
        <w:rPr>
          <w:rFonts w:ascii="Times New Roman" w:hAnsi="Times New Roman" w:cs="Times New Roman"/>
          <w:i/>
          <w:sz w:val="28"/>
          <w:szCs w:val="28"/>
        </w:rPr>
        <w:t>·</w:t>
      </w:r>
      <w:r w:rsidRPr="007E33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</w:rPr>
        <w:t>t</w:t>
      </w:r>
      <w:proofErr w:type="spellEnd"/>
      <w:r w:rsidRPr="007E3358">
        <w:rPr>
          <w:rFonts w:ascii="Times New Roman" w:hAnsi="Times New Roman" w:cs="Times New Roman"/>
          <w:i/>
          <w:sz w:val="28"/>
          <w:szCs w:val="28"/>
        </w:rPr>
        <w:t xml:space="preserve"> – t</w:t>
      </w:r>
      <w:r w:rsidRPr="007E335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7E3358">
        <w:rPr>
          <w:rFonts w:ascii="Times New Roman" w:hAnsi="Times New Roman" w:cs="Times New Roman"/>
          <w:sz w:val="28"/>
          <w:szCs w:val="28"/>
        </w:rPr>
        <w:t xml:space="preserve">], </w:t>
      </w:r>
      <w:proofErr w:type="gramEnd"/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>где λ</w:t>
      </w:r>
      <w:r w:rsidRPr="007E335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E3358">
        <w:rPr>
          <w:rFonts w:ascii="Times New Roman" w:hAnsi="Times New Roman" w:cs="Times New Roman"/>
          <w:sz w:val="28"/>
          <w:szCs w:val="28"/>
        </w:rPr>
        <w:t xml:space="preserve"> – коэффициент теплопроводности при температуре </w:t>
      </w:r>
      <w:r w:rsidRPr="007E3358">
        <w:rPr>
          <w:rFonts w:ascii="Times New Roman" w:hAnsi="Times New Roman" w:cs="Times New Roman"/>
          <w:i/>
          <w:sz w:val="28"/>
          <w:szCs w:val="28"/>
        </w:rPr>
        <w:t>t</w:t>
      </w:r>
      <w:r w:rsidRPr="007E3358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7E3358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</w:rPr>
        <w:t>b</w:t>
      </w:r>
      <w:proofErr w:type="spellEnd"/>
      <w:r w:rsidRPr="007E335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E3358">
        <w:rPr>
          <w:rFonts w:ascii="Times New Roman" w:hAnsi="Times New Roman" w:cs="Times New Roman"/>
          <w:sz w:val="28"/>
          <w:szCs w:val="28"/>
        </w:rPr>
        <w:t xml:space="preserve">постоянная, определяемая опытным путем.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u w:val="single" w:color="000000"/>
        </w:rPr>
        <w:t>Передача тепла конвекцией</w:t>
      </w: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3358" w:rsidRPr="007E3358" w:rsidRDefault="007E3358" w:rsidP="007E335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Задача №2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Металлическая труба с внутренним диаметром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d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1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и наружным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d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2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длиной 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l</w:t>
      </w:r>
      <w:proofErr w:type="spellEnd"/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покрыта двумя слоями изоляции, толщины которых δ2 и δ3. Температура внутренней поверхности трубы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1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, наружной поверхности последнего слоя 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lastRenderedPageBreak/>
        <w:t xml:space="preserve">изоляции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  <w:vertAlign w:val="subscript"/>
        </w:rPr>
        <w:t>4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. Коэффициенты теплопроводности изоляции соответственно λ2 и λ3. Определить потерю тепла через трехслойную трубу, тепловое сопротивление трехслойной стенки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R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и эквивалентный коэффициент теплопроводности изоляционных слоев λ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экв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>. Исходные данные выбрать из приведенной ниже таблицы.</w:t>
      </w:r>
      <w:r w:rsidRPr="007E33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358" w:rsidRPr="007E3358" w:rsidRDefault="007E3358" w:rsidP="007E3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Таблица исходных данных </w:t>
      </w:r>
    </w:p>
    <w:tbl>
      <w:tblPr>
        <w:tblStyle w:val="TableGrid"/>
        <w:tblW w:w="9573" w:type="dxa"/>
        <w:tblInd w:w="7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1436"/>
        <w:gridCol w:w="645"/>
        <w:gridCol w:w="645"/>
        <w:gridCol w:w="594"/>
        <w:gridCol w:w="646"/>
        <w:gridCol w:w="597"/>
        <w:gridCol w:w="599"/>
        <w:gridCol w:w="545"/>
        <w:gridCol w:w="1478"/>
        <w:gridCol w:w="1194"/>
        <w:gridCol w:w="1194"/>
      </w:tblGrid>
      <w:tr w:rsidR="007E3358" w:rsidRPr="007E3358" w:rsidTr="002B235D">
        <w:trPr>
          <w:trHeight w:val="838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цифра номера зачетной книжки 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4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трубы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Теплопроводность изоляционных слоев </w:t>
            </w:r>
          </w:p>
        </w:tc>
      </w:tr>
      <w:tr w:rsidR="007E3358" w:rsidRPr="007E3358" w:rsidTr="002B235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/(м·К)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/(м·К) </w:t>
            </w:r>
          </w:p>
        </w:tc>
      </w:tr>
      <w:tr w:rsidR="007E3358" w:rsidRPr="007E3358" w:rsidTr="002B235D">
        <w:trPr>
          <w:trHeight w:val="28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9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290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310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2,4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200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40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50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Сталь2Х13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0,10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0,12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Литература:[4, с. 320-323]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Для решения задачи необходимо учесть влияние геометрической формы стенки, используя соответствующие аналитические выражения для теплового потока и его удельных значений, приходящихся на единицу длины или единицу поверхности.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u w:val="single" w:color="000000"/>
        </w:rPr>
        <w:t>Основные законы теплового излучения.</w:t>
      </w: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Задача №3 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Между двумя поверхностями площадью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F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установлен экран. Коэффициенты излучения поверхностей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C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 xml:space="preserve">1 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>= C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 xml:space="preserve">2 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=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C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3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, а температуры поверхностей составляют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 xml:space="preserve">1 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>и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 xml:space="preserve"> </w:t>
      </w:r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t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2</w:t>
      </w:r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. Определить тепловой поток до и после установки экрана, а также температуру экрана </w:t>
      </w:r>
      <w:proofErr w:type="spellStart"/>
      <w:r w:rsidRPr="007E3358">
        <w:rPr>
          <w:rFonts w:ascii="Times New Roman" w:hAnsi="Times New Roman" w:cs="Times New Roman"/>
          <w:i/>
          <w:sz w:val="28"/>
          <w:szCs w:val="28"/>
          <w:highlight w:val="green"/>
        </w:rPr>
        <w:t>Т</w:t>
      </w:r>
      <w:r w:rsidRPr="007E3358">
        <w:rPr>
          <w:rFonts w:ascii="Times New Roman" w:hAnsi="Times New Roman" w:cs="Times New Roman"/>
          <w:sz w:val="28"/>
          <w:szCs w:val="28"/>
          <w:highlight w:val="green"/>
          <w:vertAlign w:val="subscript"/>
        </w:rPr>
        <w:t>э</w:t>
      </w:r>
      <w:proofErr w:type="spellEnd"/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, и лучистый поток после установки </w:t>
      </w:r>
      <w:proofErr w:type="spellStart"/>
      <w:r w:rsidRPr="007E3358">
        <w:rPr>
          <w:rFonts w:ascii="Times New Roman" w:hAnsi="Times New Roman" w:cs="Times New Roman"/>
          <w:sz w:val="28"/>
          <w:szCs w:val="28"/>
          <w:highlight w:val="green"/>
        </w:rPr>
        <w:t>n</w:t>
      </w:r>
      <w:proofErr w:type="spellEnd"/>
      <w:r w:rsidRPr="007E3358">
        <w:rPr>
          <w:rFonts w:ascii="Times New Roman" w:hAnsi="Times New Roman" w:cs="Times New Roman"/>
          <w:sz w:val="28"/>
          <w:szCs w:val="28"/>
          <w:highlight w:val="green"/>
        </w:rPr>
        <w:t xml:space="preserve"> экранов. Исходные данные выбрать из таблицы 14.</w:t>
      </w: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Таблица 14 </w:t>
      </w:r>
    </w:p>
    <w:tbl>
      <w:tblPr>
        <w:tblStyle w:val="TableGrid"/>
        <w:tblW w:w="9573" w:type="dxa"/>
        <w:tblInd w:w="7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1595"/>
        <w:gridCol w:w="1584"/>
        <w:gridCol w:w="1586"/>
        <w:gridCol w:w="1582"/>
        <w:gridCol w:w="1595"/>
        <w:gridCol w:w="1631"/>
      </w:tblGrid>
      <w:tr w:rsidR="007E3358" w:rsidRPr="007E3358" w:rsidTr="002B235D">
        <w:trPr>
          <w:trHeight w:val="1390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цифра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зачетной книжки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F, </w:t>
            </w:r>
          </w:p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3358"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, Вт/(м</w:t>
            </w:r>
            <w:proofErr w:type="gramStart"/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·К</w:t>
            </w:r>
            <w:r w:rsidRPr="007E33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экранов, </w:t>
            </w:r>
            <w:proofErr w:type="spellStart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358" w:rsidRPr="007E3358" w:rsidTr="002B235D">
        <w:trPr>
          <w:trHeight w:val="286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9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590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290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19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5,5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58" w:rsidRPr="007E3358" w:rsidRDefault="007E3358" w:rsidP="007E3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35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</w:t>
            </w:r>
            <w:bookmarkStart w:id="0" w:name="_GoBack"/>
            <w:bookmarkEnd w:id="0"/>
            <w:r w:rsidRPr="007E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Литература:[4, с. 402-417]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Методические рекомендации.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Решение задачи требует понимания закона Стефана-Больцмана с учетом того, что если тело участвует в теплообмене с другим телом, то часть падающего потока энергии поглощается телом, а часть отражается. То есть, необходимо учитывать так называемый эффективный лучистый поток, который зависит не только от физических свойств и температуры излучающего энергию тела, но и от физических свойств, температуры тела и спектра излучения воспринимающего тела. Рассматривая  лучистый поток между параллельными поверхностями разделенными экраном важно знать расчет приведенного коэффициента излучения.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58" w:rsidRPr="007E3358" w:rsidRDefault="007E3358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479" w:rsidRPr="007E3358" w:rsidRDefault="00357479" w:rsidP="007E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7E3358" w:rsidSect="0094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3358"/>
    <w:rsid w:val="0007191F"/>
    <w:rsid w:val="000D77A7"/>
    <w:rsid w:val="00357479"/>
    <w:rsid w:val="007E3358"/>
    <w:rsid w:val="0094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58"/>
  </w:style>
  <w:style w:type="paragraph" w:styleId="3">
    <w:name w:val="heading 3"/>
    <w:basedOn w:val="a"/>
    <w:next w:val="a"/>
    <w:link w:val="30"/>
    <w:uiPriority w:val="9"/>
    <w:unhideWhenUsed/>
    <w:qFormat/>
    <w:rsid w:val="007E3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35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7E33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2022-03-16T19:47:00Z</dcterms:created>
  <dcterms:modified xsi:type="dcterms:W3CDTF">2022-03-16T19:47:00Z</dcterms:modified>
</cp:coreProperties>
</file>