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FBC" w:rsidRPr="00856FBC" w:rsidRDefault="00856FBC" w:rsidP="00856FBC">
      <w:bookmarkStart w:id="0" w:name="_GoBack"/>
      <w:bookmarkEnd w:id="0"/>
      <w:r w:rsidRPr="00856FBC">
        <w:t xml:space="preserve">5. Фирме необходимо выбрать поставщиков (из пяти фирм) для заключения контрактов на поставку товаров на сумму до 10 млн. руб. Параметры, характеризующие для каждого вероятного партнера значения ожидаемой прибыли </w:t>
      </w:r>
      <w:r w:rsidRPr="00856FBC">
        <w:rPr>
          <w:lang w:val="en-US"/>
        </w:rPr>
        <w:t xml:space="preserve">(ci), </w:t>
      </w:r>
      <w:r w:rsidRPr="00856FBC">
        <w:t xml:space="preserve">ожидаемого риска </w:t>
      </w:r>
      <w:r w:rsidRPr="00856FBC">
        <w:rPr>
          <w:lang w:val="en-US"/>
        </w:rPr>
        <w:t>(h</w:t>
      </w:r>
      <w:r w:rsidRPr="00856FBC">
        <w:rPr>
          <w:vertAlign w:val="subscript"/>
          <w:lang w:val="en-US"/>
        </w:rPr>
        <w:t>i</w:t>
      </w:r>
      <w:r w:rsidRPr="00856FBC">
        <w:rPr>
          <w:lang w:val="en-US"/>
        </w:rPr>
        <w:t xml:space="preserve">), </w:t>
      </w:r>
      <w:r w:rsidRPr="00856FBC">
        <w:t xml:space="preserve">и максимально возможной суммы сделки с каждым из партнеров </w:t>
      </w:r>
      <w:r w:rsidRPr="00856FBC">
        <w:rPr>
          <w:lang w:val="en-US"/>
        </w:rPr>
        <w:t>(</w:t>
      </w:r>
      <w:proofErr w:type="spellStart"/>
      <w:r w:rsidRPr="00856FBC">
        <w:rPr>
          <w:lang w:val="en-US"/>
        </w:rPr>
        <w:t>k</w:t>
      </w:r>
      <w:r>
        <w:rPr>
          <w:vertAlign w:val="subscript"/>
          <w:lang w:val="en-US"/>
        </w:rPr>
        <w:t>i</w:t>
      </w:r>
      <w:proofErr w:type="spellEnd"/>
      <w:r w:rsidRPr="00856FBC">
        <w:rPr>
          <w:lang w:val="en-US"/>
        </w:rPr>
        <w:t xml:space="preserve">), </w:t>
      </w:r>
      <w:r w:rsidRPr="00856FBC">
        <w:t>приведены в таблице. Рассчитать объем сделки с каждым из партнеров и обеспечить при этом общую максимальную прибыль с учетом того, что ожидаемая сумма риска от сделок не превысит сумму ожидаемой прибыли.</w:t>
      </w:r>
    </w:p>
    <w:tbl>
      <w:tblPr>
        <w:tblW w:w="0" w:type="auto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1134"/>
        <w:gridCol w:w="1134"/>
        <w:gridCol w:w="1134"/>
        <w:gridCol w:w="1134"/>
        <w:gridCol w:w="1276"/>
      </w:tblGrid>
      <w:tr w:rsidR="00856FBC" w:rsidRPr="00856FBC" w:rsidTr="00856F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56FBC" w:rsidRPr="00856FBC" w:rsidRDefault="00856FBC" w:rsidP="00856FBC">
            <w:r w:rsidRPr="00856FBC">
              <w:t>Параметр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56FBC" w:rsidRPr="00856FBC" w:rsidRDefault="00856FBC" w:rsidP="00856FBC">
            <w:r w:rsidRPr="00856FBC">
              <w:t>Фирма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56FBC" w:rsidRPr="00856FBC" w:rsidRDefault="00856FBC" w:rsidP="00856FBC">
            <w:r w:rsidRPr="00856FBC">
              <w:t>Фирма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56FBC" w:rsidRPr="00856FBC" w:rsidRDefault="00856FBC" w:rsidP="00856FBC">
            <w:r w:rsidRPr="00856FBC">
              <w:t>Фирма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56FBC" w:rsidRPr="00856FBC" w:rsidRDefault="00856FBC" w:rsidP="00856FBC">
            <w:r w:rsidRPr="00856FBC">
              <w:t>Фирма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56FBC" w:rsidRPr="00856FBC" w:rsidRDefault="00856FBC" w:rsidP="00856FBC">
            <w:r w:rsidRPr="00856FBC">
              <w:t>Фирма 5</w:t>
            </w:r>
          </w:p>
        </w:tc>
      </w:tr>
      <w:tr w:rsidR="00856FBC" w:rsidRPr="00856FBC" w:rsidTr="00856F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56FBC" w:rsidRPr="00856FBC" w:rsidRDefault="00856FBC" w:rsidP="00856FBC">
            <w:proofErr w:type="spellStart"/>
            <w:r w:rsidRPr="00856FBC">
              <w:rPr>
                <w:lang w:val="en-US"/>
              </w:rPr>
              <w:t>k</w:t>
            </w:r>
            <w:r>
              <w:rPr>
                <w:vertAlign w:val="subscript"/>
                <w:lang w:val="en-US"/>
              </w:rPr>
              <w:t>i</w:t>
            </w:r>
            <w:proofErr w:type="spellEnd"/>
            <w:r w:rsidRPr="00856FBC">
              <w:t xml:space="preserve">, </w:t>
            </w:r>
            <w:proofErr w:type="spellStart"/>
            <w:r w:rsidRPr="00856FBC">
              <w:t>руб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56FBC" w:rsidRPr="00856FBC" w:rsidRDefault="00856FBC" w:rsidP="00856FBC">
            <w:r w:rsidRPr="00856FBC">
              <w:t>2 000 000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56FBC" w:rsidRPr="00856FBC" w:rsidRDefault="00856FBC" w:rsidP="00856FBC">
            <w:r w:rsidRPr="00856FBC">
              <w:t>3 000 000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56FBC" w:rsidRPr="00856FBC" w:rsidRDefault="00856FBC" w:rsidP="00856FBC">
            <w:r w:rsidRPr="00856FBC">
              <w:t>1 500 000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56FBC" w:rsidRPr="00856FBC" w:rsidRDefault="00856FBC" w:rsidP="00856FBC">
            <w:r w:rsidRPr="00856FBC">
              <w:t>4 000 000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56FBC" w:rsidRPr="00856FBC" w:rsidRDefault="00856FBC" w:rsidP="00856FBC">
            <w:r w:rsidRPr="00856FBC">
              <w:t>6 500 000</w:t>
            </w:r>
          </w:p>
        </w:tc>
      </w:tr>
      <w:tr w:rsidR="00856FBC" w:rsidRPr="00856FBC" w:rsidTr="00856F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56FBC" w:rsidRPr="00856FBC" w:rsidRDefault="00856FBC" w:rsidP="00856FBC">
            <w:r w:rsidRPr="00856FBC">
              <w:rPr>
                <w:lang w:val="en-US"/>
              </w:rPr>
              <w:t>C</w:t>
            </w:r>
            <w:r w:rsidRPr="00856FBC">
              <w:rPr>
                <w:vertAlign w:val="subscript"/>
                <w:lang w:val="en-US"/>
              </w:rPr>
              <w:t>i</w:t>
            </w:r>
            <w:r w:rsidRPr="00856FBC">
              <w:rPr>
                <w:lang w:val="en-US"/>
              </w:rPr>
              <w:t xml:space="preserve">, </w:t>
            </w:r>
            <w:r w:rsidRPr="00856FB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56FBC" w:rsidRPr="00856FBC" w:rsidRDefault="00856FBC" w:rsidP="00856FBC">
            <w:r w:rsidRPr="00856FBC">
              <w:t>14%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56FBC" w:rsidRPr="00856FBC" w:rsidRDefault="00856FBC" w:rsidP="00856FBC">
            <w:r w:rsidRPr="00856FBC">
              <w:t>10%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56FBC" w:rsidRPr="00856FBC" w:rsidRDefault="00856FBC" w:rsidP="00856FBC">
            <w:r w:rsidRPr="00856FBC">
              <w:t>12%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56FBC" w:rsidRPr="00856FBC" w:rsidRDefault="00856FBC" w:rsidP="00856FBC">
            <w:r w:rsidRPr="00856FBC">
              <w:t>11 %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56FBC" w:rsidRPr="00856FBC" w:rsidRDefault="00856FBC" w:rsidP="00856FBC">
            <w:r w:rsidRPr="00856FBC">
              <w:t>10%</w:t>
            </w:r>
          </w:p>
        </w:tc>
      </w:tr>
      <w:tr w:rsidR="00856FBC" w:rsidRPr="00856FBC" w:rsidTr="00856F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856FBC" w:rsidRPr="00856FBC" w:rsidRDefault="00856FBC" w:rsidP="00856FBC">
            <w:r w:rsidRPr="00856FBC">
              <w:rPr>
                <w:lang w:val="en-US"/>
              </w:rPr>
              <w:t>h</w:t>
            </w:r>
            <w:r w:rsidRPr="00856FBC">
              <w:rPr>
                <w:vertAlign w:val="subscript"/>
                <w:lang w:val="en-US"/>
              </w:rPr>
              <w:t>i</w:t>
            </w:r>
            <w:r w:rsidRPr="00856FBC">
              <w:rPr>
                <w:lang w:val="en-US"/>
              </w:rPr>
              <w:t>,%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856FBC" w:rsidRPr="00856FBC" w:rsidRDefault="00856FBC" w:rsidP="00856FBC">
            <w:r w:rsidRPr="00856FBC">
              <w:t>13%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856FBC" w:rsidRPr="00856FBC" w:rsidRDefault="00856FBC" w:rsidP="00856FBC">
            <w:r w:rsidRPr="00856FBC">
              <w:t>8%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856FBC" w:rsidRPr="00856FBC" w:rsidRDefault="00856FBC" w:rsidP="00856FBC">
            <w:r w:rsidRPr="00856FBC">
              <w:t>9%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856FBC" w:rsidRPr="00856FBC" w:rsidRDefault="00856FBC" w:rsidP="00856FBC">
            <w:r w:rsidRPr="00856FBC">
              <w:t>10%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56FBC" w:rsidRPr="00856FBC" w:rsidRDefault="00856FBC" w:rsidP="00856FBC">
            <w:r w:rsidRPr="00856FBC">
              <w:t>9%</w:t>
            </w:r>
          </w:p>
        </w:tc>
      </w:tr>
    </w:tbl>
    <w:p w:rsidR="00856FBC" w:rsidRDefault="00856FBC" w:rsidP="00856FBC"/>
    <w:sectPr w:rsidR="00856FBC" w:rsidSect="00856FBC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FBC"/>
    <w:rsid w:val="00005FFF"/>
    <w:rsid w:val="000348A7"/>
    <w:rsid w:val="000D69FF"/>
    <w:rsid w:val="00186678"/>
    <w:rsid w:val="001F7C6B"/>
    <w:rsid w:val="00263888"/>
    <w:rsid w:val="002A6E31"/>
    <w:rsid w:val="003106E5"/>
    <w:rsid w:val="00473FEA"/>
    <w:rsid w:val="00565745"/>
    <w:rsid w:val="005A338A"/>
    <w:rsid w:val="00646BEE"/>
    <w:rsid w:val="006B1A3B"/>
    <w:rsid w:val="00780E02"/>
    <w:rsid w:val="0079424A"/>
    <w:rsid w:val="00843B2A"/>
    <w:rsid w:val="00856FBC"/>
    <w:rsid w:val="008607B7"/>
    <w:rsid w:val="00863CFB"/>
    <w:rsid w:val="008658CA"/>
    <w:rsid w:val="008C3947"/>
    <w:rsid w:val="008F57C1"/>
    <w:rsid w:val="00912AE7"/>
    <w:rsid w:val="009553A7"/>
    <w:rsid w:val="0096540F"/>
    <w:rsid w:val="00C4175C"/>
    <w:rsid w:val="00C711AE"/>
    <w:rsid w:val="00CE0951"/>
    <w:rsid w:val="00D77291"/>
    <w:rsid w:val="00ED5CD1"/>
    <w:rsid w:val="00F42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F4807"/>
  <w15:chartTrackingRefBased/>
  <w15:docId w15:val="{4FF71F7B-C306-418A-841D-4B713A733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100</Words>
  <Characters>571</Characters>
  <Application>Microsoft Office Word</Application>
  <DocSecurity>0</DocSecurity>
  <Lines>4</Lines>
  <Paragraphs>1</Paragraphs>
  <ScaleCrop>false</ScaleCrop>
  <Company>SPecialiST RePack</Company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Winona</dc:creator>
  <cp:keywords/>
  <dc:description/>
  <cp:lastModifiedBy>Winona</cp:lastModifiedBy>
  <cp:revision>2</cp:revision>
  <dcterms:created xsi:type="dcterms:W3CDTF">2022-04-02T09:07:00Z</dcterms:created>
  <dcterms:modified xsi:type="dcterms:W3CDTF">2022-04-02T09:13:00Z</dcterms:modified>
</cp:coreProperties>
</file>