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 Основные положения выполнения РГР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         1.1 Цели и задачи РГР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РГР является завершающим этапом в изучении дисциплины «Типовые процессы контроля деталей и узлов приборов и систем» и представляет собой самостоятельную творческую работу студентов.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Основная цель РГР заключается в приобретении студентами умений по разработке технологических процессов технического контроля, выбору и проектированию средств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Задачами курсового проектирования являются: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закрепление и систематизация теоретических знаний в области контроля линейных и угловых размеров;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формирование умения пользоваться справочной литературой, нормативными документами, таблицами, нормами;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развитие технического мышления;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формирование таких качеств личности, как самокритичность, организованность, деловитость.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0" w:name="_Toc34033809"/>
      <w:r w:rsidRPr="005F145E">
        <w:rPr>
          <w:rFonts w:cs="Times New Roman"/>
          <w:szCs w:val="28"/>
        </w:rPr>
        <w:t>1.2 Исходные данные</w:t>
      </w:r>
      <w:bookmarkEnd w:id="0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Исходными данными для курсового проектирования являются: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рабочий чертеж детали,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задание, оформленное руководителем на специальном бланке (приложение А).</w:t>
      </w:r>
    </w:p>
    <w:p w:rsidR="00EA3CEE" w:rsidRPr="0096194D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Для работы могут быть выбраны детали типа валов, втулок, зубчатых колес средней сложности, корпусные детали, имеющие 2...3 поверхности 6...7-го квалитетов качества и требования к форме или расположению поверхностей. В задании указывается тип производства, в условиях которого изготавливается деталь. На основании этих данных необходимо разработать технологический процесс технического контроля и спроектировать средства контроля.</w:t>
      </w: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1" w:name="_Toc34033810"/>
      <w:r w:rsidRPr="005F145E">
        <w:rPr>
          <w:rFonts w:cs="Times New Roman"/>
          <w:szCs w:val="28"/>
        </w:rPr>
        <w:lastRenderedPageBreak/>
        <w:t>1.3 Объем и содержание курсовой работы</w:t>
      </w:r>
      <w:bookmarkEnd w:id="1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Объемом РГР составляет 20...30 страниц, оформленных в соответствии с требованиями к текстовым документам по ГОСТ 2.105–2019. РГР состоит из следующих разделов: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Задание на РГР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 Анализ исходных данных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1.1   Описание конструкции и назначения детали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1.2   Метрологическая экспертиза чертежа детали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1.3     Технологичность конструкции детали при техническом контроле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 Проектирование технологического процесса технического контроля детали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2.1 Проектирование технологического процесса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2.2 Выбор видов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2.3 Выбор средств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2.4 Определение разряда работ исполнителей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2.5 Определение норм времени на операции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2.6 Проектирование средств технического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2.7 Разработка схем контроля отклонений формы и расположения поверхностей 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Литература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Приложения: комплект технологической документации.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Комплект технологической документации изготовления и контроля детали должен содержать: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титульный лист комплекта технологической документации по ГОСТ 3.1105-2011;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маршрутную карту технологического процесса обработки и контроля детали по ГОСТ 3.1129-93;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операционные карты технического контроля по ГОСТ 3.1502-85;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карты эскизов контрольных операций по ГОСТ 3.1105-2011.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Графическая часть (приложения) должна состоять: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– рабочий чертеж детали, чертеж заготовки и эскизы контрольных операций;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чертежи средств контроля и контрольное приспособление;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таблица «Маршрутно-операционный процесс контроля детали …», форма которой приведена в приложении Б.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 Методические указания по выполнению отдельных частей РГР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2" w:name="_Toc34033812"/>
      <w:r w:rsidRPr="005F145E">
        <w:rPr>
          <w:rFonts w:cs="Times New Roman"/>
          <w:szCs w:val="28"/>
        </w:rPr>
        <w:t>2.1 Исходные данные</w:t>
      </w:r>
      <w:bookmarkEnd w:id="2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процессе проектирования необходимо ознакомиться с чертежом детали, ее конструктивными элементами, назначением и условиями работы в узле или механизме. Для этого следует изучить чертежи общих видов узлов и механизмов, дать описание назначения самой детали, основных ее поверхностей. Если назначение детали неизвестно, то следует описать назначение ее поверхностей.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Проанализировать чертеж детали: определить отклонения размеров, формы, расположения и шероховатость поверхностей и влияния их на качество режимов работы механизма, для которого изготовляется деталь; уяснить технологические и измерительные базы; установить наиболее ответственные размеры сопрягаемых элементов; уяснить все технические требования.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Из описания назначения и конструкции детали должно быть ясно, какие поверхности и размеры имеют основное, решающее значение для работы детали и какие – второстепенное.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Здесь же следует привести данные о материале детали: марку, ГОСТ, химический состав, механические свойства. Сведения о химическом составе материала и его механических свойствах оформить в виде таблицы.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Чертеж детали и заготовки необходимо выполнить на форматах А4.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МЭ детали выполняется в соответствии с МУ к практическому занятию.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Технологичность конструкции при техническом контроле – технологичность, определяемая применительно к подготовке и проведению </w:t>
      </w:r>
      <w:r w:rsidRPr="005F145E">
        <w:rPr>
          <w:rFonts w:cs="Times New Roman"/>
          <w:szCs w:val="28"/>
        </w:rPr>
        <w:lastRenderedPageBreak/>
        <w:t>технического контроля. Обеспечение технологичности конструкции при контроле – часть работ по обеспечению технологичности конструкции изделия, включающая мероприятия по совершенствованию подготовки и проведения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Технологичность конструкции изделия в процессе контроля определяется принимаемыми конструктивно-технологическими решениями, направленными на обеспечение высокоэффективного контроля с минимальными затратами труда, материалов и времени.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Одной из важнейших характеристик объектов контроля является технологичность конструкции при техническом контроле, качественной характеристикой которой является </w:t>
      </w:r>
      <w:proofErr w:type="spellStart"/>
      <w:r w:rsidRPr="005F145E">
        <w:rPr>
          <w:rFonts w:cs="Times New Roman"/>
          <w:szCs w:val="28"/>
        </w:rPr>
        <w:t>контролепригодность</w:t>
      </w:r>
      <w:proofErr w:type="spellEnd"/>
      <w:r w:rsidRPr="005F145E">
        <w:rPr>
          <w:rFonts w:cs="Times New Roman"/>
          <w:szCs w:val="28"/>
        </w:rPr>
        <w:t xml:space="preserve"> конструкции. </w:t>
      </w:r>
      <w:proofErr w:type="spellStart"/>
      <w:r w:rsidRPr="005F145E">
        <w:rPr>
          <w:rFonts w:cs="Times New Roman"/>
          <w:szCs w:val="28"/>
        </w:rPr>
        <w:t>Контролепригодность</w:t>
      </w:r>
      <w:proofErr w:type="spellEnd"/>
      <w:r w:rsidRPr="005F145E">
        <w:rPr>
          <w:rFonts w:cs="Times New Roman"/>
          <w:szCs w:val="28"/>
        </w:rPr>
        <w:t xml:space="preserve"> конструкции – свойство изделия, характеризующее его приспособленность к проведению контроля заданными средствами (ГОСТ 19919-74).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курсовом проекте в соответствии с назначением детали следует провести анализ технологичности конструкции детали при техническом контроле и дать качественную оценку технологичности конструкции. Анализ проводится с целью снижения затрат на технический контроль (затраты труда, материалов, времени) и повышение его эффективности. Качественная оценка характеризует технологичность конструкции, обобщенной на основании опыта конструктора, технолога и предшествует количественной.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Качественный анализ и оценку технологичности конструкции детали при техническом контроле следует выполнять в соответствии с ГОСТ 14.201-83.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анализе следует учитывать, что конструкция изделия, подвергаемого контролю, должна обладать следующими свойствами: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быть доступной для подхода к элементам, подвергаемым контролю и для применения средств измерения;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– быть рациональной с точки зрения разделения конструкции на места контроля, обеспечения преемственности методов и средств контроля, а также </w:t>
      </w:r>
      <w:r w:rsidRPr="005F145E">
        <w:rPr>
          <w:rFonts w:cs="Times New Roman"/>
          <w:szCs w:val="28"/>
        </w:rPr>
        <w:lastRenderedPageBreak/>
        <w:t>возможности применения средств механизации и автоматизации процессов контроля;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обеспечивать возможность полной или частичной имитации условий эксплуатации при проведении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На технологичность конструкции изделия в условиях контроля его геометрических параметров влияют следующие факторы: преемственность контролируемых конструктивных элементов, определяющая соответственно преемственность методов и средств контроля; доступность элементов конструкции изделия в процессе контроля их параметров; условия проведения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Доступность элементов конструкции позволяет использовать при контроле универсальные и стандартизованные средства измерения и тем самым сократить время и трудовые затраты на проведение контроля. Для сокращения трудоемкости контроля геометрических параметров изделия в его конструкции применяют такие решения, которые позволяют использовать оснастку и оборудование из унифицированных и стандартных элементов.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Преемственность контролируемых конструктивных элементов позволяет широко применять для контроля геометрических параметров производительные неспециализированные средства измерения. При оценке по критериям преемственности конструкции учитывают многократную </w:t>
      </w:r>
      <w:proofErr w:type="spellStart"/>
      <w:r w:rsidRPr="005F145E">
        <w:rPr>
          <w:rFonts w:cs="Times New Roman"/>
          <w:szCs w:val="28"/>
        </w:rPr>
        <w:t>воспроизводимость</w:t>
      </w:r>
      <w:proofErr w:type="spellEnd"/>
      <w:r w:rsidRPr="005F145E">
        <w:rPr>
          <w:rFonts w:cs="Times New Roman"/>
          <w:szCs w:val="28"/>
        </w:rPr>
        <w:t xml:space="preserve"> того или иного метода контроля при смене объектов, а также повторяемость применяемых методов и средств при контроле данной детали.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Доступность подхода к элементам конструкции изделия определяет трудоемкость и затраты на проведение его контроля. Поэтому следует проанализировать конструкцию изделия, ее элементы на обеспечение удобства подхода к ним, установки на них контрольно-измерительных приборов.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При качественной оценке технологичности конструкции изделия различают конструкции двух видов: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нерациональная конструкция – конструкция с труднодоступными элементами, неудобной конфигурацией, требующая для контроля специальные приспособления;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рациональная конструкция – конструкция с легкодоступными элементами, удобной конфигурации, позволяющая осуществить непосредственный контроль без специальных приспособлений [21].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br/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3" w:name="_Toc34033813"/>
      <w:r w:rsidRPr="005F145E">
        <w:rPr>
          <w:rFonts w:cs="Times New Roman"/>
          <w:szCs w:val="28"/>
        </w:rPr>
        <w:t>2.</w:t>
      </w:r>
      <w:bookmarkEnd w:id="3"/>
      <w:r w:rsidRPr="005F145E">
        <w:rPr>
          <w:rFonts w:cs="Times New Roman"/>
          <w:szCs w:val="28"/>
        </w:rPr>
        <w:t>2 Проектирование процесса механической обработки детали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br/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проектировании процесса механической обработки основными задачами является определение условий изготовления изделия с учетом заданного типа производства, разработка маршрута обработки, выявление необходимых средств производства, определение исходных данных для организации технического контроля и др.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Разрабатывая технологический процесс обработки деталей, необходимо выполнить следующие условия: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1.   Наметить базовые поверхности, которые должны быть обработаны в самом начале технологического процесса.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   Выполнить операции черновой обработки, при которых снимают наибольшие слои металла, что позволяет сразу выявить дефекты заготовки и освободиться от внутренних напряжений, вызывающих деформации.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     Обработать вначале те поверхности, которые не снижают жесткость обрабатываемой детали, не требуют высокой точности качества, будут служить технологической базой для последующих операций.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3.     При выборе технологических баз следует стремиться к соблюдению основных принципов базирования – совмещения и постоянства баз.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4.     Последовательность обработки должна обеспечивать требуемое качество выполнения детали.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5.     Необходимо учитывать, на каких стадиях технологического процесса целесообразно производить механическую, термическую и другие методы обработки в зависимости от требований чертежа.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6.     Отделочные операции следует производить в конце технологического процесса обработки.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Разработку маршрутного технологического процесса механической обработки заготовки рекомендуется проводить, используя знания, полученные по курсу «Технология приборостроения».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После разработки маршрута обработки детали и содержания операций производят выбор средств технологического оснащения. Разработанный технологический маршрут обработки детали следует представить в виде таблицы 1, в которой будет описан весь порядок обработки с указанием обрабатываемых поверхностей.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96194D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5F4315" w:rsidRPr="0096194D" w:rsidRDefault="005F4315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Таблица 1 – Маршрутная технология обработки детали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A3CEE" w:rsidRPr="005F145E" w:rsidTr="00EA3CEE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Номер операции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Наименование операции, обрабатываемые поверхности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Эскиз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Применяемое оборудование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Разработанный технологический маршрут обработки детали необходимо оформить в маршрутной карте технологического процесса, отразив краткое содержание операции, технологическое оснащение и трудовые нормативы. Оформление маршрутных карт, а также выполнение записей технологической информации в технологических документах на технологические процессы и операции следует выполнять в соответствии с ГОСТ 3.1118-82 и ГОСТ 3.1129-93.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4" w:name="_Toc34033814"/>
      <w:r w:rsidRPr="005F145E">
        <w:rPr>
          <w:rFonts w:cs="Times New Roman"/>
          <w:szCs w:val="28"/>
        </w:rPr>
        <w:t>2.3 Проектирование процесса технического контроля детали</w:t>
      </w:r>
      <w:bookmarkEnd w:id="4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проектировании технологического процесса изготовления детали предусматриваются необходимые контрольные операции, назначаются методы и средства технического контроля и измерений. Контроль качества продукции должен быть организован так, чтобы обеспечивать активное вмешательство в производственный процесс, т.е. осуществлять управление качеством.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проектировании процессов контроля, последовательности операций и установлении основных документов, обеспечивающих решение задач каждого этапа контроля следует руководствоваться рекомендациями Р 50-609-40-01.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В курсовой работе проектирование процесса технического контроля осуществляется интуитивным методом, который основан на априорной информации. Содержание технологического процесса технического контроля </w:t>
      </w:r>
      <w:r w:rsidRPr="005F145E">
        <w:rPr>
          <w:rFonts w:cs="Times New Roman"/>
          <w:szCs w:val="28"/>
        </w:rPr>
        <w:lastRenderedPageBreak/>
        <w:t>выбирается в результате анализа объектов, методов и средств контроля без экономико-математического моделирования.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Процесс технического контроля разрабатывают как совокупность взаимосвязанных операций технического контроля для отдельных групп и типов материалов, заготовок, полуфабрикатов, деталей и сборочных единиц, а также для отдельных видов технического контроля и производств.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Основные этапы разработки процессов технического контроля и задачи, решаемые на каждом этапе, представлены в таблице 2.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2 – Порядок разработки процессов и операций технического контроля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8"/>
        <w:gridCol w:w="6373"/>
      </w:tblGrid>
      <w:tr w:rsidR="00EA3CEE" w:rsidRPr="005F145E" w:rsidTr="00EA3CEE">
        <w:tc>
          <w:tcPr>
            <w:tcW w:w="3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Этап разработки процессов</w:t>
            </w:r>
          </w:p>
        </w:tc>
        <w:tc>
          <w:tcPr>
            <w:tcW w:w="9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Задачи, решаемые на этапе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1.Подбор и анализ исходных материалов для разработки процессов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 Ознакомление с изделием, требованиями к изготовлению, испытаниям, ремонту и эксплуатации.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 Подбор и анализ справочной информации, необходимой для разработки процесса контроля.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2. Выбор объектов и видов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Оценка возможности и стабильности технологического процесса изготовления, испытания и ремонта. Определение номенклатуры объектов контроля. Установление видов контроля по его объектам. Определение технических требований на операции контроля.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3.Выбор действующего типового, группового процесса контроля или поиск </w:t>
            </w:r>
            <w:r w:rsidRPr="005F145E">
              <w:rPr>
                <w:rFonts w:cs="Times New Roman"/>
                <w:szCs w:val="28"/>
              </w:rPr>
              <w:lastRenderedPageBreak/>
              <w:t>аналога единичного процесса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Отнесение объекта контроля к действующему типовому, групповому или единичному процессу контроля с учетом количественной оценки групп изделий.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4. Составление технологического маршрута процесса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Определение состава и последовательности технологических операций контроля, обеспечивающих своевременное выявление и устранение дефектов и </w:t>
            </w:r>
            <w:proofErr w:type="gramStart"/>
            <w:r w:rsidRPr="005F145E">
              <w:rPr>
                <w:rFonts w:cs="Times New Roman"/>
                <w:szCs w:val="28"/>
              </w:rPr>
              <w:t>получение информации для оперативного регулирования</w:t>
            </w:r>
            <w:proofErr w:type="gramEnd"/>
            <w:r w:rsidRPr="005F145E">
              <w:rPr>
                <w:rFonts w:cs="Times New Roman"/>
                <w:szCs w:val="28"/>
              </w:rPr>
              <w:t xml:space="preserve"> и прогнозирования технологического процесса.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Предварительное определение состава контрольного оборудования.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5.Разработка технологических операций технического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 Выбор контролируемых параметров (признаков).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Выбор схем контроля, определение контрольных точек объектов, измерительных баз.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 Выбор методов и средств контроля.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 Определение объема (плана) контроля.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4 Разработка последовательности переходов технического контроля.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6. Нормирование процессов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 Установление исходных данных, необходимых для расчетов норм времени и расхода материалов.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 Расчет и нормирование затрат труда на выполнение процесса.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 Определение разряда работ и обоснование профессии исполнителей контроля для выполнения операций в зависимости от сложности работ.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7.Расчет технико-экономической </w:t>
            </w:r>
            <w:r w:rsidRPr="005F145E">
              <w:rPr>
                <w:rFonts w:cs="Times New Roman"/>
                <w:szCs w:val="28"/>
              </w:rPr>
              <w:lastRenderedPageBreak/>
              <w:t>эффективности процесса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Выбор оптимального варианта процесса технического контроля.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8. Оформление технологических документов на технический контроль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Заполнение технологических документов.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Нормоконтроль</w:t>
            </w:r>
            <w:proofErr w:type="spellEnd"/>
            <w:r w:rsidRPr="005F145E">
              <w:rPr>
                <w:rFonts w:cs="Times New Roman"/>
                <w:szCs w:val="28"/>
              </w:rPr>
              <w:t xml:space="preserve"> технологической документации.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Согласование технологической документации с заинтересованными подразделениями и ее утверждение.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9.Разработка документации результатов контроля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Установление порядка оформления результатов контроля и необходимого состава форм документов.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Разработка технологических паспортов, карт измерения, журналов контроля.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общем виде маршрут технического контроля содержит: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 Входной контроль марки материала, геометрических и физических параметров, внешнего вида объекта. Основные положения по организации, проведению и оформлению результатов входного контроля материалов, полуфабрикатов и комплектующих изделий устанавливает ГОСТ 24297-87.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 Операционный контроль геометрических параметров, внешнего вида объектов должен проводиться с целью своевременного предотвращения отступлений от требований конструкторской и технологической документации при изготовлении деталей, сборочных единиц, а также для выявления характера и причин отклонений от технологических процессов в ходе производства и разработки мероприятий, направленных на обеспечение стабильности качества выпускаемой продукции.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3. Приемочный контроль деталей проводится с целью установления пригодности к поставке или использованию бездефектных укомплектованных изделий и предусматривает проведение всесторонних </w:t>
      </w:r>
      <w:r w:rsidRPr="005F145E">
        <w:rPr>
          <w:rFonts w:cs="Times New Roman"/>
          <w:szCs w:val="28"/>
        </w:rPr>
        <w:lastRenderedPageBreak/>
        <w:t>оценок их качества (геометрических параметров, внешнего вида, наличие клейма и документации) на соответствие требованиям, установленным в конструкторской и технологической документации.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Особенности организации технического контроля в зависимости от типа производства приведены в таблице 3.</w:t>
      </w:r>
    </w:p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782B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 Таблица 3 – Особенности организации технического контроля в зависимости от типа производства</w:t>
      </w:r>
    </w:p>
    <w:tbl>
      <w:tblPr>
        <w:tblW w:w="13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11054"/>
      </w:tblGrid>
      <w:tr w:rsidR="00EA3CEE" w:rsidRPr="005F145E" w:rsidTr="00EA3CEE">
        <w:tc>
          <w:tcPr>
            <w:tcW w:w="2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Тип производства</w:t>
            </w:r>
          </w:p>
        </w:tc>
        <w:tc>
          <w:tcPr>
            <w:tcW w:w="1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Особенности организации технического контроля</w:t>
            </w:r>
          </w:p>
        </w:tc>
      </w:tr>
      <w:tr w:rsidR="00EA3CEE" w:rsidRPr="005F145E" w:rsidTr="00EA3CEE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Единичное, мелкосерийное производство</w:t>
            </w:r>
          </w:p>
        </w:tc>
        <w:tc>
          <w:tcPr>
            <w:tcW w:w="1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Технология контроля разрабатывается с маршрутным описанием. Необходим тщательный сплошной операционный и приемочный контроль контролерами высокой квалификации. Применяются универсальные средства контроля. Специальные средства контроля применяются только в технически или экономически обоснованных случаях.</w:t>
            </w:r>
          </w:p>
        </w:tc>
      </w:tr>
      <w:tr w:rsidR="00EA3CEE" w:rsidRPr="005F145E" w:rsidTr="00EA3CEE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Серийное, крупносерийное производство</w:t>
            </w:r>
          </w:p>
        </w:tc>
        <w:tc>
          <w:tcPr>
            <w:tcW w:w="1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Разрабатывается технология контроля с маршрутно-операционным и операционным описанием. Применяется контроль: выборочный операционный статистическими методами, сплошной операционный для ответственных и высокоточных деталей, профилактический контроль первой детали. Приемочный контроль, в основном, сплошной. Применяются универсальные средства контроля, калибры, шаблоны, специальные контрольные приспособления. На отдельных операциях используются механизированные, полуавтоматические и автоматические средства контроля. Организуются контрольные пункты стационарного контроля. Квалификация контролеров в основном средняя.</w:t>
            </w:r>
          </w:p>
        </w:tc>
      </w:tr>
      <w:tr w:rsidR="00EA3CEE" w:rsidRPr="005F145E" w:rsidTr="00EA3CEE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Массовое производство</w:t>
            </w:r>
          </w:p>
        </w:tc>
        <w:tc>
          <w:tcPr>
            <w:tcW w:w="1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Разрабатывается технология с операционным описанием. Проектируются специальные высокопроизводительные контрольные приборы, применяется оснастка </w:t>
            </w:r>
            <w:r w:rsidRPr="005F145E">
              <w:rPr>
                <w:rFonts w:cs="Times New Roman"/>
                <w:szCs w:val="28"/>
              </w:rPr>
              <w:lastRenderedPageBreak/>
              <w:t>(сортировочные автоматы, полуавтоматы, средства автоматического и активного контроля). Универсальные средства контроля имеют ограниченное применение (в основном при наладке станков). Контрольные пункты размещаются в поточной линии. Применяются выборочный операционный и приемочный контроль со статистическими методами. Сплошной контроль с применением механизированных и автоматизированных средств контроля предусматривается для точных и ответственных деталей и узлов. Квалификация контролеров – невысокая, ИТР ОТК – высокой квалификации.</w:t>
            </w:r>
          </w:p>
        </w:tc>
      </w:tr>
    </w:tbl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C617B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Разработанный технологический процесс технического контроля детали следует представить в виде таблицы 4, в которой будет описан порядок проведения контроля с указанием содержания каждой операции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4 – Технологический процесс технического контроля детали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A3CEE" w:rsidRPr="005F145E" w:rsidTr="00EA3CEE">
        <w:tc>
          <w:tcPr>
            <w:tcW w:w="3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Номер и наименование операции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Содержание операции (контролируемые параметры)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Эскиз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Разработанный технологический процесс технического контроля детали необходимо оформить совместно с технологией обработки детали в маршрутной карте технологического процесса (ГОСТ 3.1105-2011) с указанием названия операции и оборудования. Подробное содержание каждой операции контроля следует представить в операционной карте технического контроля (по ГОСТ 3.1502-85) и карте эскизов контрольных операций (по ГОСТ 3.1105-2011). Эскизы контрольных операций необходимо оформить на формате А2.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5" w:name="_Toc34033815"/>
      <w:r w:rsidRPr="005F145E">
        <w:rPr>
          <w:rFonts w:cs="Times New Roman"/>
          <w:szCs w:val="28"/>
        </w:rPr>
        <w:t>2.4 Выбор видов технического контроля</w:t>
      </w:r>
      <w:bookmarkEnd w:id="5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Виды технического контроля устанавливает ГОСТ 16504-81 (таблица 5).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Выбор вида технического контроля проводится в зависимости от: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– объекта контроля (качество продукции, технической документации, средств технологического оснащения, технологической дисциплины, технологического процесса);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исполнителя контроля;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характеристик производства;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значимости дефектов по контролируемым признакам;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цели и особенности его проведения.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Целесообразность применения того или иного вида контроля должна быть обоснована.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5 – Систематизация видов контроля по основным признакам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EA3CEE" w:rsidRPr="005F145E" w:rsidTr="00EA3CEE"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Признак вида контроля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Вид контроля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Стадия создания и существования продукции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Производственный, эксплуатационный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Этап процесса производства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Входной, операционный, приемочный, инспекционный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Полнота охвата контролем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Сплошной, выборочный, летучий, непрерывный, периодический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Влияние на объект контроля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Разрушающий, неразрушающий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Применение средств контроля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Измерительный, регистрационный, органолептический, визуальный, технический осмотр</w:t>
            </w:r>
          </w:p>
        </w:tc>
      </w:tr>
    </w:tbl>
    <w:p w:rsidR="00E93680" w:rsidRPr="00E455C5" w:rsidRDefault="00E93680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93680" w:rsidRPr="00E455C5" w:rsidRDefault="00E93680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93680" w:rsidRPr="00E455C5" w:rsidRDefault="00E93680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93680" w:rsidRPr="00E455C5" w:rsidRDefault="00E93680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Результат выбора видов контроля следует представить в виде таблицы 6.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6 – </w:t>
      </w:r>
      <w:hyperlink r:id="rId4" w:tooltip="Виды контроля" w:history="1">
        <w:r w:rsidRPr="005F145E">
          <w:rPr>
            <w:rStyle w:val="a4"/>
            <w:rFonts w:cs="Times New Roman"/>
            <w:szCs w:val="28"/>
          </w:rPr>
          <w:t>Виды контроля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EA3CEE" w:rsidRPr="005F145E" w:rsidTr="00EA3CEE"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Наименование операции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DD6B70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hyperlink r:id="rId5" w:tooltip="Виды контроля" w:history="1">
              <w:r w:rsidR="00EA3CEE" w:rsidRPr="005F145E">
                <w:rPr>
                  <w:rStyle w:val="a4"/>
                  <w:rFonts w:cs="Times New Roman"/>
                  <w:szCs w:val="28"/>
                </w:rPr>
                <w:t>Виды контроля</w:t>
              </w:r>
            </w:hyperlink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Входной контроль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Операционный контроль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Приемочный контроль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  <w:lang w:val="en-US"/>
        </w:rPr>
      </w:pPr>
      <w:bookmarkStart w:id="6" w:name="_Toc34033816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2.5 Выбор средств технического контроля</w:t>
      </w:r>
      <w:bookmarkEnd w:id="6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Порядок выбора средств контроля и требования, предъявляемые к средствам контроля устанавливают рекомендации Р 50-609-39-01.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Этапы выбора средств контроля для одного контролируемого параметра приведены в таблице 7.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7 – Этапы выбора средств контроля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7"/>
        <w:gridCol w:w="3292"/>
        <w:gridCol w:w="3802"/>
      </w:tblGrid>
      <w:tr w:rsidR="00EA3CEE" w:rsidRPr="005F145E" w:rsidTr="00EA3CEE">
        <w:tc>
          <w:tcPr>
            <w:tcW w:w="3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Этап выбора средств контроля</w:t>
            </w:r>
          </w:p>
        </w:tc>
        <w:tc>
          <w:tcPr>
            <w:tcW w:w="4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Решение задачи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Используемая документация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1. Анализ характеристик объекта контроля и показателей процесса контроля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Ознакомление с характеристиками объекта контроля, показателями процесса контроля, влияющими на выбор средств контроля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Конструкторская документация на изделие; технологическая документация на изготовление и контроль изделий; документы, содержащие сведения об объёме выпуска и сроках изготовления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 xml:space="preserve">2. Анализ </w:t>
            </w:r>
            <w:r w:rsidRPr="005F145E">
              <w:rPr>
                <w:rFonts w:cs="Times New Roman"/>
                <w:szCs w:val="28"/>
              </w:rPr>
              <w:lastRenderedPageBreak/>
              <w:t>характеристик средств контроля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 xml:space="preserve">Ознакомление с </w:t>
            </w:r>
            <w:r w:rsidRPr="005F145E">
              <w:rPr>
                <w:rFonts w:cs="Times New Roman"/>
                <w:szCs w:val="28"/>
              </w:rPr>
              <w:lastRenderedPageBreak/>
              <w:t>параметрами, устройством, особенностями применения средств контроля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 xml:space="preserve">Классификатор средств </w:t>
            </w:r>
            <w:r w:rsidRPr="005F145E">
              <w:rPr>
                <w:rFonts w:cs="Times New Roman"/>
                <w:szCs w:val="28"/>
              </w:rPr>
              <w:lastRenderedPageBreak/>
              <w:t>контроля; каталог средств контроля; национальные стандарты на средства контроля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lastRenderedPageBreak/>
              <w:t>3. Определение состава средств контроля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Определение состава средств контроля, обеспечивающих заданные показатели процесса контроля с учетом метрологических и эксплуатационных характеристик средств контроля; предварительное определение необходимости проектирования специальных средств контроля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Картотеки применяемости средств контроля; каталог средств контроля; классификатор средств контроля</w:t>
            </w:r>
          </w:p>
        </w:tc>
      </w:tr>
      <w:tr w:rsidR="00EA3CEE" w:rsidRPr="005F145E" w:rsidTr="00EA3CEE"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4. Оценка эффективности выбранных средств контроля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Определение целесообразности применения средств контроля; экономическое обоснование выбираемых средств контроля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Методика расчета экономической эффективности технического контроля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При выборе средств контроля в зависимости от допускаемой погрешности измерения следует руководствоваться ГОСТ 8.051-81 и РД 50-98-86. Метрологические характеристики средств измерений и контроля геометрических величин приведены, например, в справочнике: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- Метрологические характеристики средств измерений и технического контроля геометрических величин: справочник / сост. Л.И. Анисимова, А.С. Кривоногова; науч. ред. Б.Н. </w:t>
      </w:r>
      <w:proofErr w:type="spellStart"/>
      <w:r w:rsidRPr="005F145E">
        <w:rPr>
          <w:rFonts w:cs="Times New Roman"/>
          <w:szCs w:val="28"/>
        </w:rPr>
        <w:t>Гузанов</w:t>
      </w:r>
      <w:proofErr w:type="spellEnd"/>
      <w:r w:rsidRPr="005F145E">
        <w:rPr>
          <w:rFonts w:cs="Times New Roman"/>
          <w:szCs w:val="28"/>
        </w:rPr>
        <w:t>. – Екатеринбург: Изд-во Рос. гос. проф.-</w:t>
      </w:r>
      <w:proofErr w:type="spellStart"/>
      <w:r w:rsidRPr="005F145E">
        <w:rPr>
          <w:rFonts w:cs="Times New Roman"/>
          <w:szCs w:val="28"/>
        </w:rPr>
        <w:t>пед</w:t>
      </w:r>
      <w:proofErr w:type="spellEnd"/>
      <w:r w:rsidRPr="005F145E">
        <w:rPr>
          <w:rFonts w:cs="Times New Roman"/>
          <w:szCs w:val="28"/>
        </w:rPr>
        <w:t>. ун-та, 2010. – 260 с.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Порядок выбора средств контроля по точности измерения: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1) Определение допускаемой погрешности измерения контролируемого параметра в соответствии с ГОСТ 8.051-81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2) Выбор средства контроля в соответствии с РД 50-98-86.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3) Сопоставление допускаемой погрешности измерения Δ и предельной погрешности средства контроля δ. При этом должно соблюдаться условие δ ≤ Δ, т.е. предельная погрешность средства контроля не должна превышать допускаемую погрешность измерения контролируемого параметра.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4) По результатам сопоставления ограничивают номенклатуру средств контроля. Из выбранных приборов следует выбирать тот, который имеется в наличии, проще в обращении и к условиям применения которого предъявляются менее жесткие требования.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Результат выбора средств контроля на каждой контрольной операции следует представить в виде таблицы 8. В таблице необходимо также указать число контрольных точек. Правила определения числа контрольных точек приведены в справочнике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- Технический контроль в машиностроении: справ. проектировщика / под общ. ред. В.Н. </w:t>
      </w:r>
      <w:proofErr w:type="spellStart"/>
      <w:r w:rsidRPr="005F145E">
        <w:rPr>
          <w:rFonts w:cs="Times New Roman"/>
          <w:szCs w:val="28"/>
        </w:rPr>
        <w:t>Чупырина</w:t>
      </w:r>
      <w:proofErr w:type="spellEnd"/>
      <w:r w:rsidRPr="005F145E">
        <w:rPr>
          <w:rFonts w:cs="Times New Roman"/>
          <w:szCs w:val="28"/>
        </w:rPr>
        <w:t>, А.Д. Никифорова. – М.: Машиностроение, 1987. – 512 с. (с. 77).</w:t>
      </w:r>
    </w:p>
    <w:p w:rsidR="00EA3CEE" w:rsidRPr="0096194D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Pr="0096194D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782B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Таблица 8 – Средства контроля детали</w:t>
      </w:r>
    </w:p>
    <w:tbl>
      <w:tblPr>
        <w:tblW w:w="13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4"/>
        <w:gridCol w:w="2355"/>
        <w:gridCol w:w="1329"/>
        <w:gridCol w:w="2398"/>
        <w:gridCol w:w="2263"/>
        <w:gridCol w:w="3093"/>
      </w:tblGrid>
      <w:tr w:rsidR="00EA3CEE" w:rsidRPr="005F145E" w:rsidTr="00EA3CEE"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Контролируемый параметр</w:t>
            </w:r>
          </w:p>
        </w:tc>
        <w:tc>
          <w:tcPr>
            <w:tcW w:w="2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Допускаемая погрешность измерения (Δ)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Средство контроля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Предельная погрешность средства контроля (δ)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Сопоставление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(δ ≤ Δ)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Число контрольных точек</w:t>
            </w:r>
          </w:p>
        </w:tc>
      </w:tr>
      <w:tr w:rsidR="00EA3CEE" w:rsidRPr="005F145E" w:rsidTr="00EA3CEE">
        <w:tc>
          <w:tcPr>
            <w:tcW w:w="1374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Входной контроль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1374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Операционный контроль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1374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Приемочный контроль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7" w:name="_Toc34033817"/>
      <w:r w:rsidRPr="005F145E">
        <w:rPr>
          <w:rFonts w:cs="Times New Roman"/>
          <w:szCs w:val="28"/>
        </w:rPr>
        <w:t> </w:t>
      </w:r>
      <w:bookmarkEnd w:id="7"/>
    </w:p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C617B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2.6 Определение разряда работ исполнителей контроля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Определение разряда работ исполнителей контроля касается только штатных контролеров. Учитывается то обстоятельство, что в знания и навыки контролеров каждого последующего разряда обязательно входят знания и навыки контролеров всех предыдущих разрядов.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Согласно методу квантификации, состав исполнителей технического контроля делится на категории, признаки которых представлены в таблице 9.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782B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Таблица 9 – Признаки категории состава исполнителей технического контроля</w:t>
      </w:r>
    </w:p>
    <w:tbl>
      <w:tblPr>
        <w:tblW w:w="13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1904"/>
      </w:tblGrid>
      <w:tr w:rsidR="00EA3CEE" w:rsidRPr="005F145E" w:rsidTr="00EA3CEE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Категория</w:t>
            </w:r>
          </w:p>
        </w:tc>
        <w:tc>
          <w:tcPr>
            <w:tcW w:w="1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Признаки категории</w:t>
            </w:r>
          </w:p>
        </w:tc>
      </w:tr>
      <w:tr w:rsidR="00EA3CEE" w:rsidRPr="005F145E" w:rsidTr="00EA3CEE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1</w:t>
            </w:r>
          </w:p>
        </w:tc>
        <w:tc>
          <w:tcPr>
            <w:tcW w:w="1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Высший (5-й или 6-й) квалификационный рабочий разряд, высшее или среднее специальное образование (для ИТР), большой опыт работы и специализация на приемке объектов контроля, технический контроль с применением средств и систем автоматического технического контроля или других средств согласно тарифно-квалификационному справочнику.</w:t>
            </w:r>
          </w:p>
        </w:tc>
      </w:tr>
      <w:tr w:rsidR="00EA3CEE" w:rsidRPr="005F145E" w:rsidTr="00EA3CEE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2</w:t>
            </w:r>
          </w:p>
        </w:tc>
        <w:tc>
          <w:tcPr>
            <w:tcW w:w="1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Высокий (4-й или выше) квалификационный рабочий разряд, среднее или среднее специальное образование (для ИТР), значительный опыт и специализация на приемке объектов контроля с применением средств автоматизированного технического контроля или других средств согласно тарифно-квалификационному справочнику.</w:t>
            </w:r>
          </w:p>
        </w:tc>
      </w:tr>
      <w:tr w:rsidR="00EA3CEE" w:rsidRPr="005F145E" w:rsidTr="00EA3CEE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</w:t>
            </w:r>
          </w:p>
        </w:tc>
        <w:tc>
          <w:tcPr>
            <w:tcW w:w="1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3-й и более высокие квалификационные разряды по приемке объектов контроля с применением средств контроля согласно тарифно-квалификационному справочнику.</w:t>
            </w:r>
          </w:p>
        </w:tc>
      </w:tr>
      <w:tr w:rsidR="00EA3CEE" w:rsidRPr="005F145E" w:rsidTr="00EA3CEE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4</w:t>
            </w:r>
          </w:p>
        </w:tc>
        <w:tc>
          <w:tcPr>
            <w:tcW w:w="1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Могут не иметь квалификационного рабочего разряда и опыта по приемке объектов контроля, но должны применять средства контроля согласно тарифно-квалификационному справочнику.</w:t>
            </w:r>
          </w:p>
        </w:tc>
      </w:tr>
    </w:tbl>
    <w:p w:rsidR="00C617BB" w:rsidRDefault="00C617BB" w:rsidP="005F145E">
      <w:pPr>
        <w:pBdr>
          <w:bottom w:val="single" w:sz="4" w:space="1" w:color="auto"/>
        </w:pBdr>
        <w:rPr>
          <w:rFonts w:cs="Times New Roman"/>
          <w:szCs w:val="28"/>
        </w:rPr>
        <w:sectPr w:rsidR="00C617BB" w:rsidSect="00C617B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процессе подготовки исходных данных собирают сведения: об операциях и объекте контроля (о наименовании детали, важности выполняемой ею функции, сложности ее конфигурации, виде контролируемого параметра и точности детали); о средствах контроля (их наименованиях); об исполнителях контроля (наименовании должности исполнителя контроля, разряде работ контролеров и их тарифных ставках).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Затем на основании собранных данных в соответствии с профессиональными стандартами окончательно назначают наибольший разряд из выбранных разрядов по каждой операции.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Определение разряда работ исполнителей контроля следует представить в виде таблицы 10.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10 – Разряд работ исполнителей контроля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A3CEE" w:rsidRPr="005F145E" w:rsidTr="00EA3CEE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Признак</w:t>
            </w:r>
          </w:p>
        </w:tc>
        <w:tc>
          <w:tcPr>
            <w:tcW w:w="70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Операции контроля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Входной контроль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Операционный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контроль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Приемочный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контроль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Итоговый разряд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Разряд работ и профессию исполнителя контроля указывают в ведомости операций или операционной карте технического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курсовом проекте необходимо выполнить подробный расчет норм времени на одну из операций контроля, а по всем остальным контрольным операциям результаты расчетов привести в виде таблицы 11.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Таблица 11 – Нормы времени на операции технического контроля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279"/>
        <w:gridCol w:w="769"/>
        <w:gridCol w:w="740"/>
        <w:gridCol w:w="769"/>
        <w:gridCol w:w="756"/>
        <w:gridCol w:w="769"/>
        <w:gridCol w:w="758"/>
        <w:gridCol w:w="765"/>
      </w:tblGrid>
      <w:tr w:rsidR="00EA3CEE" w:rsidRPr="005F145E" w:rsidTr="00EA3CEE"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Наименование операции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Контролируемые параметры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Ткп</w:t>
            </w:r>
            <w:proofErr w:type="spellEnd"/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КТ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Тпк</w:t>
            </w:r>
            <w:proofErr w:type="spellEnd"/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Твс</w:t>
            </w:r>
            <w:proofErr w:type="spellEnd"/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Тпв</w:t>
            </w:r>
            <w:proofErr w:type="spellEnd"/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proofErr w:type="spellStart"/>
            <w:r w:rsidRPr="005F145E">
              <w:rPr>
                <w:rFonts w:cs="Times New Roman"/>
                <w:szCs w:val="28"/>
              </w:rPr>
              <w:t>Тпз</w:t>
            </w:r>
            <w:proofErr w:type="spellEnd"/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Ток</w:t>
            </w:r>
          </w:p>
        </w:tc>
      </w:tr>
      <w:tr w:rsidR="00EA3CEE" w:rsidRPr="005F145E" w:rsidTr="00EA3CEE"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Нормы времени операций контроля указываются в ведомости операций или операционной карте контроля, маршрутной карте или карте технологического процесса согласно стандартам ЕСТД по видам работ.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8" w:name="_Toc34033819"/>
      <w:r w:rsidRPr="005F145E">
        <w:rPr>
          <w:rFonts w:cs="Times New Roman"/>
          <w:szCs w:val="28"/>
        </w:rPr>
        <w:t>2.8 Проектирование средств технического контроля</w:t>
      </w:r>
      <w:bookmarkEnd w:id="8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Средства контроля, применяемые для операционного и приемочного контроля детали, в зависимости от типа производства могут быть как универсальными, так и специальными. В качестве проектируемых могут быть выбраны гладкие калибры для контроля валов и отверстий, конусные, шлицевые и шпоночные калибры.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bookmarkStart w:id="9" w:name="_Toc34033820"/>
      <w:r w:rsidRPr="005F145E">
        <w:rPr>
          <w:rFonts w:cs="Times New Roman"/>
          <w:szCs w:val="28"/>
        </w:rPr>
        <w:t>2.9 Разработка схем контроля отклонений формы и расположения</w:t>
      </w:r>
      <w:bookmarkStart w:id="10" w:name="_Toc34033821"/>
      <w:bookmarkEnd w:id="9"/>
      <w:r w:rsidRPr="005F145E">
        <w:rPr>
          <w:rFonts w:cs="Times New Roman"/>
          <w:szCs w:val="28"/>
        </w:rPr>
        <w:t> поверхностей</w:t>
      </w:r>
      <w:bookmarkEnd w:id="10"/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Схема контроля – совокупность схемы установки сборочной единицы или детали и связанных с их измерительными базами средствами контроля.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пояснительной записке курсового проекта необходимо разработать для каждого контролируемого параметра возможные схемы контроля отклонений формы и расположения поверхностей. Разработанные схемы контроля следует представить в виде таблицы 12, указав контролируемый параметр, метод, средство и схему контроля, краткое описание и способ определения численного значения отклонения.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Общие требования к методам измерений отклонений формы и расположения поверхностей устанавливает ГОСТ 28187-89. Наиболее часто </w:t>
      </w:r>
      <w:r w:rsidRPr="005F145E">
        <w:rPr>
          <w:rFonts w:cs="Times New Roman"/>
          <w:szCs w:val="28"/>
        </w:rPr>
        <w:lastRenderedPageBreak/>
        <w:t>используемые схемы контроля отклонений формы и расположения поверхностей приведены в литературе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                   Альбом контрольно-измерительных приспособлений: учеб. пособие для вузов / Ю.С. Степанов, Б.И. </w:t>
      </w:r>
      <w:proofErr w:type="spellStart"/>
      <w:r w:rsidRPr="005F145E">
        <w:rPr>
          <w:rFonts w:cs="Times New Roman"/>
          <w:szCs w:val="28"/>
        </w:rPr>
        <w:t>Афонасьев</w:t>
      </w:r>
      <w:proofErr w:type="spellEnd"/>
      <w:r w:rsidRPr="005F145E">
        <w:rPr>
          <w:rFonts w:cs="Times New Roman"/>
          <w:szCs w:val="28"/>
        </w:rPr>
        <w:t xml:space="preserve">, А.Г. </w:t>
      </w:r>
      <w:proofErr w:type="spellStart"/>
      <w:r w:rsidRPr="005F145E">
        <w:rPr>
          <w:rFonts w:cs="Times New Roman"/>
          <w:szCs w:val="28"/>
        </w:rPr>
        <w:t>Схиртладзе</w:t>
      </w:r>
      <w:proofErr w:type="spellEnd"/>
      <w:r w:rsidRPr="005F145E">
        <w:rPr>
          <w:rFonts w:cs="Times New Roman"/>
          <w:szCs w:val="28"/>
        </w:rPr>
        <w:t>, А.Е. Щукин, А.С. </w:t>
      </w:r>
      <w:proofErr w:type="spellStart"/>
      <w:r w:rsidRPr="005F145E">
        <w:rPr>
          <w:rFonts w:cs="Times New Roman"/>
          <w:szCs w:val="28"/>
        </w:rPr>
        <w:t>Ямников</w:t>
      </w:r>
      <w:proofErr w:type="spellEnd"/>
      <w:r w:rsidRPr="005F145E">
        <w:rPr>
          <w:rFonts w:cs="Times New Roman"/>
          <w:szCs w:val="28"/>
        </w:rPr>
        <w:t xml:space="preserve"> / под общ. ред. Ю.С. Степанова. – М.: Машиностроение, 1998. – 184 с.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            </w:t>
      </w:r>
      <w:proofErr w:type="spellStart"/>
      <w:r w:rsidRPr="005F145E">
        <w:rPr>
          <w:rFonts w:cs="Times New Roman"/>
          <w:szCs w:val="28"/>
        </w:rPr>
        <w:t>Маханько</w:t>
      </w:r>
      <w:proofErr w:type="spellEnd"/>
      <w:r w:rsidRPr="005F145E">
        <w:rPr>
          <w:rFonts w:cs="Times New Roman"/>
          <w:szCs w:val="28"/>
        </w:rPr>
        <w:t xml:space="preserve"> А.М. Контроль слесарных и сборочных работ: учеб. для проф. учеб. заведений. – М.: </w:t>
      </w:r>
      <w:proofErr w:type="spellStart"/>
      <w:r w:rsidRPr="005F145E">
        <w:rPr>
          <w:rFonts w:cs="Times New Roman"/>
          <w:szCs w:val="28"/>
        </w:rPr>
        <w:t>Высш</w:t>
      </w:r>
      <w:proofErr w:type="spellEnd"/>
      <w:r w:rsidRPr="005F145E">
        <w:rPr>
          <w:rFonts w:cs="Times New Roman"/>
          <w:szCs w:val="28"/>
        </w:rPr>
        <w:t xml:space="preserve">. </w:t>
      </w:r>
      <w:proofErr w:type="spellStart"/>
      <w:r w:rsidRPr="005F145E">
        <w:rPr>
          <w:rFonts w:cs="Times New Roman"/>
          <w:szCs w:val="28"/>
        </w:rPr>
        <w:t>шк</w:t>
      </w:r>
      <w:proofErr w:type="spellEnd"/>
      <w:r w:rsidRPr="005F145E">
        <w:rPr>
          <w:rFonts w:cs="Times New Roman"/>
          <w:szCs w:val="28"/>
        </w:rPr>
        <w:t>.; Издательский центр «Академия», 2007. – 286 с.</w:t>
      </w:r>
    </w:p>
    <w:p w:rsidR="00EA3CEE" w:rsidRPr="005F145E" w:rsidRDefault="00EA3CEE" w:rsidP="0096194D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                   Машиностроение. Энциклопедия / ред. совет К.В. Фролов и др. – М.: Машиностроение. Измерения, контроль, испытания и диагностика. – Т. III-7 / В.В. Клюев, Ф.Р. Соснин, В.Н. Филинов [и др.]; под общ. ред. В.В. Клюева. – 1996. – 464 с.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 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Таблица 12 – Схемы контроля отклонений формы и расположения поверхностей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2286"/>
        <w:gridCol w:w="1763"/>
        <w:gridCol w:w="2881"/>
      </w:tblGrid>
      <w:tr w:rsidR="00EA3CEE" w:rsidRPr="005F145E" w:rsidTr="00EA3CEE"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Условное обозначение контролируемого параметра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Метод и средство</w:t>
            </w:r>
          </w:p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контроля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Схема контроля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Краткое описание и способ определения отклонения</w:t>
            </w:r>
          </w:p>
        </w:tc>
      </w:tr>
      <w:tr w:rsidR="00EA3CEE" w:rsidRPr="005F145E" w:rsidTr="00EA3CEE"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  <w:tr w:rsidR="00EA3CEE" w:rsidRPr="005F145E" w:rsidTr="00EA3CEE"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tbl>
      <w:tblPr>
        <w:tblW w:w="97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9"/>
        <w:gridCol w:w="1630"/>
        <w:gridCol w:w="2882"/>
        <w:gridCol w:w="2569"/>
      </w:tblGrid>
      <w:tr w:rsidR="00EA3CEE" w:rsidRPr="005F145E" w:rsidTr="00EA3CEE">
        <w:tc>
          <w:tcPr>
            <w:tcW w:w="266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163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88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  <w:r w:rsidRPr="005F145E">
              <w:rPr>
                <w:rFonts w:cs="Times New Roman"/>
                <w:szCs w:val="28"/>
              </w:rPr>
              <w:t> </w:t>
            </w:r>
          </w:p>
        </w:tc>
        <w:tc>
          <w:tcPr>
            <w:tcW w:w="256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A3CEE" w:rsidRPr="005F145E" w:rsidRDefault="00EA3CEE" w:rsidP="005F145E">
            <w:pPr>
              <w:pBdr>
                <w:bottom w:val="single" w:sz="4" w:space="1" w:color="auto"/>
              </w:pBdr>
              <w:rPr>
                <w:rFonts w:cs="Times New Roman"/>
                <w:szCs w:val="28"/>
              </w:rPr>
            </w:pPr>
          </w:p>
        </w:tc>
      </w:tr>
    </w:tbl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В данной части курсового проекта необходимо также спроектировать контрольно-измерительное приспособление для контроля одного из требования к отклонению формы или расположения поверхностей. Определить и описать конструкцию контрольно-измерительного </w:t>
      </w:r>
      <w:r w:rsidRPr="005F145E">
        <w:rPr>
          <w:rFonts w:cs="Times New Roman"/>
          <w:szCs w:val="28"/>
        </w:rPr>
        <w:lastRenderedPageBreak/>
        <w:t>приспособления, требования к нему; описать порядок выполнения измерения отклонения.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Контрольно-измерительные приспособления представляют собой специальные средства измерения и контроля, включающие конструктивное сочетание базирующих, зажимных и измерительных устройств.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Основные требования, предъявляемые к контрольно-измерительным приспособлениям и </w:t>
      </w:r>
      <w:proofErr w:type="gramStart"/>
      <w:r w:rsidRPr="005F145E">
        <w:rPr>
          <w:rFonts w:cs="Times New Roman"/>
          <w:szCs w:val="28"/>
        </w:rPr>
        <w:t>приборам</w:t>
      </w:r>
      <w:proofErr w:type="gramEnd"/>
      <w:r w:rsidRPr="005F145E">
        <w:rPr>
          <w:rFonts w:cs="Times New Roman"/>
          <w:szCs w:val="28"/>
        </w:rPr>
        <w:t xml:space="preserve"> устанавливает ГОСТ 17353-89: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обеспечение оптимальной точности и производительности контрольных операций;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удобство в эксплуатации;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технологичность в изготовлении;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износоустойчивость;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– экономическая целесообразность.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Проектирование контрольно-измерительного приспособления заключается в выборе базовой конструкции из существующих контрольно-измерительных приборов. Конструкции контрольно-измерительных приборов представлены в учебном пособии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 xml:space="preserve">Альбом контрольно-измерительных приспособлений: учеб. пособие для вузов / Ю.С. Степанов, Б.И. </w:t>
      </w:r>
      <w:proofErr w:type="spellStart"/>
      <w:r w:rsidRPr="005F145E">
        <w:rPr>
          <w:rFonts w:cs="Times New Roman"/>
          <w:szCs w:val="28"/>
        </w:rPr>
        <w:t>Афонасьев</w:t>
      </w:r>
      <w:proofErr w:type="spellEnd"/>
      <w:r w:rsidRPr="005F145E">
        <w:rPr>
          <w:rFonts w:cs="Times New Roman"/>
          <w:szCs w:val="28"/>
        </w:rPr>
        <w:t xml:space="preserve">, А.Г. </w:t>
      </w:r>
      <w:proofErr w:type="spellStart"/>
      <w:r w:rsidRPr="005F145E">
        <w:rPr>
          <w:rFonts w:cs="Times New Roman"/>
          <w:szCs w:val="28"/>
        </w:rPr>
        <w:t>Схиртладзе</w:t>
      </w:r>
      <w:proofErr w:type="spellEnd"/>
      <w:r w:rsidRPr="005F145E">
        <w:rPr>
          <w:rFonts w:cs="Times New Roman"/>
          <w:szCs w:val="28"/>
        </w:rPr>
        <w:t>, А.Е. Щукин, А.С. </w:t>
      </w:r>
      <w:proofErr w:type="spellStart"/>
      <w:r w:rsidRPr="005F145E">
        <w:rPr>
          <w:rFonts w:cs="Times New Roman"/>
          <w:szCs w:val="28"/>
        </w:rPr>
        <w:t>Ямников</w:t>
      </w:r>
      <w:proofErr w:type="spellEnd"/>
      <w:r w:rsidRPr="005F145E">
        <w:rPr>
          <w:rFonts w:cs="Times New Roman"/>
          <w:szCs w:val="28"/>
        </w:rPr>
        <w:t xml:space="preserve"> / под общ. ред. Ю.С. Степанова. – М.: Машиностроение, 1998. – 184 с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Затем необходимо установить возможные изменения приспособления.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пояснительной записке необходимо привести краткое описание и принцип работы базовой конструкции контрольно-измерительного приспособления и указать необходимые элементы модернизации в его конструкции.</w:t>
      </w:r>
    </w:p>
    <w:p w:rsidR="00EA3CEE" w:rsidRPr="005F145E" w:rsidRDefault="00EA3CEE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Принятые конструктивные решения следует оформить в виде чертежа общего вида контрольного приспособления на формате А2. На чертеже указываются габаритные, присоединительные, установочные размеры с допусками, а также технические требования.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3. Оформление технологической документации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br/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Для описания технологических операций технического контроля применяют ведомость операций или операционные карты технического контроля в соответствии с ГОСТ 3.1502-85. В курсовом проекте технологический процесс технического контроля рекомендуется оформлять на формах 2 и 2а операционных карт технического контроля и в картах эскизов на каждую операцию контроля.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В операционной карте технического контроля описывают содержание технологической операции контроля с указанием содержания и последовательности выполнения переходов, контролируемых параметров, данных о применяемых средствах контроля, норм времени и периодичности контроля. Наименование операций технического контроля следует принимать по Классификатору технологических операций машиностроения и приборостроения. Текстовая запись содержания переходов производится в соответствии с Классификатором технологических переходов машиностроения и приборостроения.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При описании операций технического контроля следует применять полную или краткую форму записи содержания перехода. При полной записи приводится текстовая запись содержания производимого действия, например: «1. Проверить диаметр отверстия Ø10+0,1». При краткой записи указывается только контролируемый параметр, например: «48 ± 0,2».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Операционные эскизы технического контроля следует выполнять на формах карт эскизов по ГОСТ 3.1105-2011 с указанием кода операции. На эскизах для каждой операции контроля показывают только те размеры и параметры, которые контролируются на данной операции с числовыми значениями полей допусков. Деталь (или заготовка) изображается в соответствующей стадии обработки.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lastRenderedPageBreak/>
        <w:t>В результате комплект технологической документации изготовления и контроля детали должен содержать: титульный лист; маршрутную карту технологического процесса обработки и контроля детали; операционные карты технического контроля; карты эскизов контрольных операций.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  <w:r w:rsidRPr="005F145E">
        <w:rPr>
          <w:rFonts w:cs="Times New Roman"/>
          <w:szCs w:val="28"/>
        </w:rPr>
        <w:t>Графическую часть работы следует оформить на двух листах формата А1. На одном рекомендуется представить рабочий чертеж детали и заготовки, несколько эскизов контрольных операций с указанием переходов и применяемых средств контроля. На другом листе выполнить чертежи спроектированных средств контроля и чертеж общего вида контрольно-измерительного приспособления.</w:t>
      </w:r>
    </w:p>
    <w:p w:rsidR="00295A84" w:rsidRPr="005F145E" w:rsidRDefault="00295A84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46573D" w:rsidRDefault="0046573D" w:rsidP="005F145E">
      <w:pPr>
        <w:pBdr>
          <w:bottom w:val="single" w:sz="4" w:space="1" w:color="auto"/>
        </w:pBdr>
        <w:rPr>
          <w:rFonts w:cs="Times New Roman"/>
          <w:szCs w:val="28"/>
        </w:rPr>
      </w:pPr>
    </w:p>
    <w:p w:rsidR="00E455C5" w:rsidRPr="00DD6B70" w:rsidRDefault="00E455C5" w:rsidP="00E455C5">
      <w:pPr>
        <w:pBdr>
          <w:bottom w:val="single" w:sz="4" w:space="1" w:color="auto"/>
        </w:pBdr>
        <w:ind w:firstLine="0"/>
        <w:rPr>
          <w:rFonts w:cs="Times New Roman"/>
          <w:szCs w:val="28"/>
        </w:rPr>
        <w:sectPr w:rsidR="00E455C5" w:rsidRPr="00DD6B70" w:rsidSect="0096194D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782BA5" w:rsidRPr="00DD6B70" w:rsidRDefault="00DD6B70" w:rsidP="00E455C5">
      <w:pPr>
        <w:pBdr>
          <w:bottom w:val="single" w:sz="4" w:space="1" w:color="auto"/>
        </w:pBdr>
        <w:ind w:firstLine="0"/>
        <w:rPr>
          <w:rFonts w:cs="Times New Roman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8820150" cy="6543675"/>
            <wp:effectExtent l="0" t="0" r="0" b="0"/>
            <wp:docPr id="1" name="Рисунок 1" descr="https://cdn.discordapp.com/attachments/556836710680494112/974066998340362310/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discordapp.com/attachments/556836710680494112/974066998340362310/unknow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0" cy="654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1" w:name="_GoBack"/>
      <w:bookmarkEnd w:id="11"/>
    </w:p>
    <w:sectPr w:rsidR="00782BA5" w:rsidRPr="00DD6B70" w:rsidSect="00E455C5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CEE"/>
    <w:rsid w:val="00147597"/>
    <w:rsid w:val="00163B5D"/>
    <w:rsid w:val="00265D25"/>
    <w:rsid w:val="00295A84"/>
    <w:rsid w:val="002C49B0"/>
    <w:rsid w:val="0034755B"/>
    <w:rsid w:val="0046573D"/>
    <w:rsid w:val="005F145E"/>
    <w:rsid w:val="005F4315"/>
    <w:rsid w:val="00637D2A"/>
    <w:rsid w:val="00782BA5"/>
    <w:rsid w:val="0096194D"/>
    <w:rsid w:val="00A659EE"/>
    <w:rsid w:val="00C617BB"/>
    <w:rsid w:val="00DD6B70"/>
    <w:rsid w:val="00E455C5"/>
    <w:rsid w:val="00E93680"/>
    <w:rsid w:val="00EA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135129-9E07-48A9-A40D-A011E2B9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9EE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A3CEE"/>
    <w:pPr>
      <w:spacing w:before="100" w:beforeAutospacing="1" w:after="100" w:afterAutospacing="1" w:line="240" w:lineRule="auto"/>
      <w:ind w:firstLine="0"/>
      <w:contextualSpacing w:val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3C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A3CEE"/>
    <w:pPr>
      <w:spacing w:before="100" w:beforeAutospacing="1" w:after="100" w:afterAutospacing="1" w:line="240" w:lineRule="auto"/>
      <w:ind w:firstLine="0"/>
      <w:contextualSpacing w:val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3C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3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3C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A3CEE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A3CE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57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4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lms.oreluniver.ru/mod/book/view.php?id=14196" TargetMode="External"/><Relationship Id="rId4" Type="http://schemas.openxmlformats.org/officeDocument/2006/relationships/hyperlink" Target="https://lms.oreluniver.ru/mod/book/view.php?id=14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30</Pages>
  <Words>4882</Words>
  <Characters>27828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iLCube</dc:creator>
  <cp:lastModifiedBy>zxc</cp:lastModifiedBy>
  <cp:revision>6</cp:revision>
  <dcterms:created xsi:type="dcterms:W3CDTF">2022-03-20T17:16:00Z</dcterms:created>
  <dcterms:modified xsi:type="dcterms:W3CDTF">2022-05-11T21:54:00Z</dcterms:modified>
</cp:coreProperties>
</file>