
<file path=[Content_Types].xml><?xml version="1.0" encoding="utf-8"?>
<Types xmlns="http://schemas.openxmlformats.org/package/2006/content-types">
  <Default Extension="xml" ContentType="application/xml"/>
  <Default Extension="wdp" ContentType="image/vnd.ms-photo"/>
  <Default Extension="jpeg" ContentType="image/jpeg"/>
  <Default Extension="png" ContentType="image/png"/>
  <Default Extension="gif" ContentType="image/gi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uppressAutoHyphens w:val="0"/>
        <w:spacing w:line="240" w:lineRule="auto"/>
        <w:jc w:val="left"/>
        <w:rPr>
          <w:lang w:val="en-US"/>
        </w:rPr>
      </w:pPr>
    </w:p>
    <w:tbl>
      <w:tblPr>
        <w:tblStyle w:val="31"/>
        <w:tblW w:w="9571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86"/>
        <w:gridCol w:w="8185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86" w:type="dxa"/>
          </w:tcPr>
          <w:p>
            <w:pPr>
              <w:suppressAutoHyphens w:val="0"/>
              <w:spacing w:line="240" w:lineRule="auto"/>
              <w:jc w:val="left"/>
              <w:rPr>
                <w:rFonts w:eastAsia="MS Mincho"/>
                <w:b/>
              </w:rPr>
            </w:pPr>
            <w:r>
              <w:rPr>
                <w:rFonts w:ascii="Calibri" w:hAnsi="Calibri" w:eastAsia="MS Mincho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-13970</wp:posOffset>
                  </wp:positionH>
                  <wp:positionV relativeFrom="paragraph">
                    <wp:posOffset>209550</wp:posOffset>
                  </wp:positionV>
                  <wp:extent cx="733425" cy="828675"/>
                  <wp:effectExtent l="0" t="0" r="9525" b="9525"/>
                  <wp:wrapTight wrapText="bothSides">
                    <wp:wrapPolygon>
                      <wp:start x="0" y="0"/>
                      <wp:lineTo x="0" y="21352"/>
                      <wp:lineTo x="21319" y="21352"/>
                      <wp:lineTo x="21319" y="0"/>
                      <wp:lineTo x="0" y="0"/>
                    </wp:wrapPolygon>
                  </wp:wrapTight>
                  <wp:docPr id="20" name="Рисунок 1030" descr="Gerb-BMSTU_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1030" descr="Gerb-BMSTU_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3425" cy="828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185" w:type="dxa"/>
          </w:tcPr>
          <w:p>
            <w:pPr>
              <w:suppressAutoHyphens w:val="0"/>
              <w:spacing w:line="240" w:lineRule="auto"/>
              <w:jc w:val="center"/>
              <w:rPr>
                <w:rFonts w:eastAsia="MS Mincho"/>
                <w:b/>
              </w:rPr>
            </w:pPr>
            <w:r>
              <w:rPr>
                <w:rFonts w:eastAsia="MS Mincho"/>
                <w:b/>
              </w:rPr>
              <w:t>Министерство науки и высшего образования Российской Федерации</w:t>
            </w:r>
          </w:p>
          <w:p>
            <w:pPr>
              <w:suppressAutoHyphens w:val="0"/>
              <w:spacing w:line="240" w:lineRule="auto"/>
              <w:jc w:val="center"/>
              <w:rPr>
                <w:rFonts w:eastAsia="MS Mincho"/>
                <w:b/>
              </w:rPr>
            </w:pPr>
            <w:r>
              <w:rPr>
                <w:rFonts w:eastAsia="MS Mincho"/>
                <w:b/>
              </w:rPr>
              <w:t xml:space="preserve">Федеральное государственное бюджетное образовательное учреждение </w:t>
            </w:r>
          </w:p>
          <w:p>
            <w:pPr>
              <w:suppressAutoHyphens w:val="0"/>
              <w:spacing w:line="240" w:lineRule="auto"/>
              <w:jc w:val="center"/>
              <w:rPr>
                <w:rFonts w:eastAsia="MS Mincho"/>
                <w:b/>
              </w:rPr>
            </w:pPr>
            <w:r>
              <w:rPr>
                <w:rFonts w:eastAsia="MS Mincho"/>
                <w:b/>
              </w:rPr>
              <w:t>высшего образования</w:t>
            </w:r>
          </w:p>
          <w:p>
            <w:pPr>
              <w:suppressAutoHyphens w:val="0"/>
              <w:spacing w:line="240" w:lineRule="auto"/>
              <w:ind w:right="-2"/>
              <w:jc w:val="center"/>
              <w:rPr>
                <w:rFonts w:eastAsia="MS Mincho"/>
                <w:b/>
              </w:rPr>
            </w:pPr>
            <w:r>
              <w:rPr>
                <w:rFonts w:eastAsia="MS Mincho"/>
                <w:b/>
              </w:rPr>
              <w:t>«Московский государственный технический университет</w:t>
            </w:r>
          </w:p>
          <w:p>
            <w:pPr>
              <w:suppressAutoHyphens w:val="0"/>
              <w:spacing w:line="240" w:lineRule="auto"/>
              <w:ind w:right="-2"/>
              <w:jc w:val="center"/>
              <w:rPr>
                <w:rFonts w:eastAsia="MS Mincho"/>
                <w:b/>
              </w:rPr>
            </w:pPr>
            <w:r>
              <w:rPr>
                <w:rFonts w:eastAsia="MS Mincho"/>
                <w:b/>
              </w:rPr>
              <w:t>имени Н.Э. Баумана</w:t>
            </w:r>
          </w:p>
          <w:p>
            <w:pPr>
              <w:suppressAutoHyphens w:val="0"/>
              <w:spacing w:line="240" w:lineRule="auto"/>
              <w:jc w:val="center"/>
              <w:rPr>
                <w:rFonts w:eastAsia="MS Mincho"/>
                <w:b/>
              </w:rPr>
            </w:pPr>
            <w:r>
              <w:rPr>
                <w:rFonts w:eastAsia="MS Mincho"/>
                <w:b/>
              </w:rPr>
              <w:t>(национальный исследовательский университет)»</w:t>
            </w:r>
          </w:p>
          <w:p>
            <w:pPr>
              <w:suppressAutoHyphens w:val="0"/>
              <w:spacing w:line="240" w:lineRule="auto"/>
              <w:jc w:val="center"/>
              <w:rPr>
                <w:rFonts w:eastAsia="MS Mincho"/>
                <w:b/>
              </w:rPr>
            </w:pPr>
            <w:r>
              <w:rPr>
                <w:rFonts w:eastAsia="MS Mincho"/>
                <w:b/>
              </w:rPr>
              <w:t>(МГТУ им. Н.Э. Баумана)</w:t>
            </w:r>
          </w:p>
        </w:tc>
      </w:tr>
    </w:tbl>
    <w:p>
      <w:pPr>
        <w:pBdr>
          <w:bottom w:val="thinThickSmallGap" w:color="auto" w:sz="24" w:space="2"/>
        </w:pBdr>
        <w:suppressAutoHyphens w:val="0"/>
        <w:spacing w:line="240" w:lineRule="auto"/>
        <w:jc w:val="center"/>
        <w:rPr>
          <w:rFonts w:eastAsia="MS Mincho"/>
          <w:b/>
          <w:sz w:val="10"/>
        </w:rPr>
      </w:pPr>
    </w:p>
    <w:p>
      <w:pPr>
        <w:suppressAutoHyphens w:val="0"/>
        <w:spacing w:line="240" w:lineRule="auto"/>
        <w:jc w:val="left"/>
        <w:rPr>
          <w:rFonts w:eastAsia="MS Mincho"/>
          <w:b/>
          <w:sz w:val="32"/>
        </w:rPr>
      </w:pPr>
      <w:r>
        <w:rPr>
          <w:rFonts w:ascii="Calibri" w:hAnsi="Calibri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1163320</wp:posOffset>
                </wp:positionH>
                <wp:positionV relativeFrom="paragraph">
                  <wp:posOffset>121285</wp:posOffset>
                </wp:positionV>
                <wp:extent cx="3771900" cy="347345"/>
                <wp:effectExtent l="1270" t="0" r="0" b="0"/>
                <wp:wrapNone/>
                <wp:docPr id="41" name="Надпись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1900" cy="347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t>Информатика и системы управления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Надпись 41" o:spid="_x0000_s1026" o:spt="202" type="#_x0000_t202" style="position:absolute;left:0pt;margin-left:91.6pt;margin-top:9.55pt;height:27.35pt;width:297pt;z-index:251660288;mso-width-relative:page;mso-height-relative:page;" filled="f" stroked="f" coordsize="21600,21600" o:gfxdata="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WAAAAZHJzL1BLAQIUABQAAAAIAIdO4kADaEf/1gAAAAkBAAAP&#10;AAAAAAAAAAEAIAAAADgAAABkcnMvZG93bnJldi54bWxQSwECFAAUAAAACACHTuJACFa2qwQCAADO&#10;AwAADgAAAAAAAAABACAAAAA7AQAAZHJzL2Uyb0RvYy54bWxQSwUGAAAAAAYABgBZAQAAs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r>
                        <w:t>Информатика и системы управления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uppressAutoHyphens w:val="0"/>
        <w:spacing w:line="240" w:lineRule="auto"/>
        <w:jc w:val="left"/>
        <w:rPr>
          <w:rFonts w:eastAsia="MS Mincho"/>
        </w:rPr>
      </w:pPr>
      <w:r>
        <w:rPr>
          <w:rFonts w:eastAsia="MS Mincho"/>
        </w:rPr>
        <w:t>ФАКУЛЬТЕТ _________________________________________________________________</w:t>
      </w:r>
    </w:p>
    <w:p>
      <w:pPr>
        <w:suppressAutoHyphens w:val="0"/>
        <w:spacing w:line="240" w:lineRule="auto"/>
        <w:jc w:val="left"/>
        <w:rPr>
          <w:rFonts w:eastAsia="MS Mincho"/>
        </w:rPr>
      </w:pPr>
      <w:r>
        <w:rPr>
          <w:rFonts w:ascii="Calibri" w:hAnsi="Calibri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1021080</wp:posOffset>
                </wp:positionH>
                <wp:positionV relativeFrom="paragraph">
                  <wp:posOffset>40005</wp:posOffset>
                </wp:positionV>
                <wp:extent cx="4802505" cy="342900"/>
                <wp:effectExtent l="1905" t="1905" r="0" b="0"/>
                <wp:wrapNone/>
                <wp:docPr id="40" name="Надпись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250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t>Информационные системы и телекоммуникации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Надпись 40" o:spid="_x0000_s1026" o:spt="202" type="#_x0000_t202" style="position:absolute;left:0pt;margin-left:80.4pt;margin-top:3.15pt;height:27pt;width:378.15pt;z-index:251661312;mso-width-relative:page;mso-height-relative:page;" filled="f" stroked="f" coordsize="21600,21600" o:gfxdata="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BYAAABkcnMvUEsBAhQAFAAAAAgAh07iQF+4ROjUAAAACAEAAA8A&#10;AAAAAAAAAQAgAAAAOAAAAGRycy9kb3ducmV2LnhtbFBLAQIUABQAAAAIAIdO4kAzTxpxBQIAAM4D&#10;AAAOAAAAAAAAAAEAIAAAADkBAABkcnMvZTJvRG9jLnhtbFBLBQYAAAAABgAGAFkBAACw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r>
                        <w:t>Информационные системы и телекоммуникации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uppressAutoHyphens w:val="0"/>
        <w:spacing w:line="240" w:lineRule="auto"/>
        <w:jc w:val="left"/>
        <w:rPr>
          <w:rFonts w:eastAsia="MS Mincho"/>
          <w:iCs/>
        </w:rPr>
      </w:pPr>
      <w:r>
        <w:rPr>
          <w:rFonts w:eastAsia="MS Mincho"/>
        </w:rPr>
        <w:t>КАФЕДРА _</w:t>
      </w:r>
      <w:r>
        <w:rPr>
          <w:rFonts w:eastAsia="MS Mincho"/>
          <w:iCs/>
        </w:rPr>
        <w:t>__________________________________________________________________</w:t>
      </w:r>
    </w:p>
    <w:p>
      <w:pPr>
        <w:suppressAutoHyphens w:val="0"/>
        <w:spacing w:line="240" w:lineRule="auto"/>
        <w:jc w:val="left"/>
        <w:rPr>
          <w:rFonts w:eastAsia="MS Mincho"/>
          <w:i/>
        </w:rPr>
      </w:pPr>
    </w:p>
    <w:p>
      <w:pPr>
        <w:suppressAutoHyphens w:val="0"/>
        <w:spacing w:line="240" w:lineRule="auto"/>
        <w:jc w:val="left"/>
        <w:rPr>
          <w:rFonts w:eastAsia="MS Mincho"/>
          <w:i/>
          <w:sz w:val="18"/>
        </w:rPr>
      </w:pPr>
    </w:p>
    <w:p>
      <w:pPr>
        <w:suppressAutoHyphens w:val="0"/>
        <w:spacing w:line="240" w:lineRule="auto"/>
        <w:jc w:val="left"/>
        <w:rPr>
          <w:rFonts w:eastAsia="MS Mincho"/>
          <w:i/>
          <w:sz w:val="32"/>
        </w:rPr>
      </w:pPr>
    </w:p>
    <w:p>
      <w:pPr>
        <w:suppressAutoHyphens w:val="0"/>
        <w:spacing w:line="240" w:lineRule="auto"/>
        <w:jc w:val="center"/>
        <w:rPr>
          <w:rFonts w:eastAsia="MS Mincho"/>
          <w:b/>
          <w:sz w:val="44"/>
        </w:rPr>
      </w:pPr>
      <w:r>
        <w:rPr>
          <w:rFonts w:eastAsia="MS Mincho"/>
          <w:b/>
          <w:sz w:val="44"/>
        </w:rPr>
        <w:t>РАСЧЕТНО-ПОЯСНИТЕЛЬНАЯ ЗАПИСКА</w:t>
      </w:r>
    </w:p>
    <w:p>
      <w:pPr>
        <w:suppressAutoHyphens w:val="0"/>
        <w:spacing w:line="240" w:lineRule="auto"/>
        <w:jc w:val="center"/>
        <w:rPr>
          <w:rFonts w:eastAsia="MS Mincho"/>
          <w:i/>
        </w:rPr>
      </w:pPr>
    </w:p>
    <w:p>
      <w:pPr>
        <w:suppressAutoHyphens w:val="0"/>
        <w:spacing w:line="240" w:lineRule="auto"/>
        <w:jc w:val="center"/>
        <w:rPr>
          <w:rFonts w:eastAsia="MS Mincho"/>
          <w:b/>
          <w:sz w:val="40"/>
        </w:rPr>
      </w:pPr>
      <w:r>
        <w:rPr>
          <w:rFonts w:eastAsia="MS Mincho"/>
          <w:b/>
          <w:sz w:val="40"/>
        </w:rPr>
        <w:t>К КУРСОВОЙ РАБОТЕ</w:t>
      </w:r>
    </w:p>
    <w:p>
      <w:pPr>
        <w:suppressAutoHyphens w:val="0"/>
        <w:spacing w:line="240" w:lineRule="auto"/>
        <w:jc w:val="center"/>
        <w:rPr>
          <w:rFonts w:eastAsia="MS Mincho"/>
          <w:b/>
        </w:rPr>
      </w:pPr>
    </w:p>
    <w:p>
      <w:pPr>
        <w:suppressAutoHyphens w:val="0"/>
        <w:spacing w:line="240" w:lineRule="auto"/>
        <w:jc w:val="center"/>
        <w:rPr>
          <w:rFonts w:eastAsia="MS Mincho"/>
          <w:b/>
          <w:sz w:val="40"/>
        </w:rPr>
      </w:pPr>
      <w:r>
        <w:rPr>
          <w:rFonts w:eastAsia="MS Mincho"/>
          <w:b/>
          <w:sz w:val="40"/>
        </w:rPr>
        <w:t>НА ТЕМУ:</w:t>
      </w:r>
    </w:p>
    <w:p>
      <w:pPr>
        <w:suppressAutoHyphens w:val="0"/>
        <w:spacing w:line="240" w:lineRule="auto"/>
        <w:jc w:val="left"/>
        <w:rPr>
          <w:rFonts w:eastAsia="MS Mincho"/>
          <w:b/>
          <w:sz w:val="40"/>
        </w:rPr>
      </w:pPr>
      <w:r>
        <w:rPr>
          <w:sz w:val="40"/>
          <w:szCs w:val="40"/>
          <w:u w:val="single"/>
        </w:rPr>
        <w:t xml:space="preserve">Стабилизатор частоты вращения коллекторного электродвигателя </w:t>
      </w:r>
      <w:r>
        <w:rPr>
          <w:rFonts w:eastAsia="MS Mincho"/>
          <w:b/>
          <w:sz w:val="40"/>
        </w:rPr>
        <w:t>____________________________________________</w:t>
      </w:r>
      <w:r>
        <w:rPr>
          <w:rFonts w:eastAsia="MS Mincho"/>
          <w:b/>
          <w:i/>
          <w:sz w:val="40"/>
        </w:rPr>
        <w:t>_________________________________________________</w:t>
      </w:r>
      <w:r>
        <w:rPr>
          <w:rFonts w:ascii="Calibri" w:hAnsi="Calibri"/>
          <w:b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1703705</wp:posOffset>
                </wp:positionH>
                <wp:positionV relativeFrom="paragraph">
                  <wp:posOffset>8035290</wp:posOffset>
                </wp:positionV>
                <wp:extent cx="1537970" cy="342900"/>
                <wp:effectExtent l="0" t="0" r="0" b="3810"/>
                <wp:wrapNone/>
                <wp:docPr id="39" name="Надпись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797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группы ИУ3-64Б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Надпись 39" o:spid="_x0000_s1026" o:spt="202" type="#_x0000_t202" style="position:absolute;left:0pt;margin-left:134.15pt;margin-top:632.7pt;height:27pt;width:121.1pt;z-index:251668480;mso-width-relative:page;mso-height-relative:page;" filled="f" stroked="f" coordsize="21600,21600" o:gfxdata="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WAAAAZHJzL1BLAQIUABQAAAAIAIdO4kDI0tmF2QAAAA0B&#10;AAAPAAAAAAAAAAEAIAAAADgAAABkcnMvZG93bnJldi54bWxQSwECFAAUAAAACACHTuJA0sYaeAQC&#10;AADOAwAADgAAAAAAAAABACAAAAA+AQAAZHJzL2Uyb0RvYy54bWxQSwUGAAAAAAYABgBZAQAAtA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группы ИУ3-64Б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b/>
          <w:i/>
          <w:sz w:val="40"/>
        </w:rPr>
        <w:t>___</w:t>
      </w:r>
    </w:p>
    <w:p>
      <w:pPr>
        <w:suppressAutoHyphens w:val="0"/>
        <w:spacing w:line="240" w:lineRule="auto"/>
        <w:jc w:val="left"/>
        <w:rPr>
          <w:rFonts w:eastAsia="MS Mincho"/>
          <w:b/>
          <w:i/>
          <w:sz w:val="40"/>
        </w:rPr>
      </w:pPr>
      <w:r>
        <w:rPr>
          <w:rFonts w:eastAsia="MS Mincho"/>
          <w:b/>
          <w:i/>
          <w:sz w:val="40"/>
        </w:rPr>
        <w:t>________________________________________________________________________________________________</w:t>
      </w:r>
    </w:p>
    <w:p>
      <w:pPr>
        <w:suppressAutoHyphens w:val="0"/>
        <w:spacing w:line="240" w:lineRule="auto"/>
        <w:jc w:val="left"/>
        <w:rPr>
          <w:rFonts w:eastAsia="MS Mincho"/>
        </w:rPr>
      </w:pPr>
    </w:p>
    <w:p>
      <w:pPr>
        <w:suppressAutoHyphens w:val="0"/>
        <w:spacing w:line="240" w:lineRule="auto"/>
        <w:jc w:val="left"/>
        <w:rPr>
          <w:rFonts w:eastAsia="MS Mincho"/>
        </w:rPr>
      </w:pPr>
    </w:p>
    <w:p>
      <w:pPr>
        <w:suppressAutoHyphens w:val="0"/>
        <w:spacing w:line="240" w:lineRule="auto"/>
        <w:jc w:val="left"/>
        <w:rPr>
          <w:rFonts w:eastAsia="MS Mincho"/>
        </w:rPr>
      </w:pPr>
    </w:p>
    <w:p>
      <w:pPr>
        <w:suppressAutoHyphens w:val="0"/>
        <w:spacing w:line="240" w:lineRule="auto"/>
        <w:jc w:val="left"/>
        <w:rPr>
          <w:rFonts w:eastAsia="MS Mincho"/>
        </w:rPr>
      </w:pPr>
    </w:p>
    <w:p>
      <w:pPr>
        <w:suppressAutoHyphens w:val="0"/>
        <w:spacing w:line="240" w:lineRule="auto"/>
        <w:jc w:val="left"/>
        <w:rPr>
          <w:rFonts w:eastAsia="MS Mincho"/>
        </w:rPr>
      </w:pPr>
    </w:p>
    <w:p>
      <w:pPr>
        <w:suppressAutoHyphens w:val="0"/>
        <w:spacing w:line="240" w:lineRule="auto"/>
        <w:jc w:val="left"/>
        <w:rPr>
          <w:rFonts w:eastAsia="MS Mincho"/>
        </w:rPr>
      </w:pPr>
      <w:r>
        <w:rPr>
          <w:rFonts w:ascii="Calibri" w:hAnsi="Calibri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margin">
                  <wp:posOffset>4598035</wp:posOffset>
                </wp:positionH>
                <wp:positionV relativeFrom="paragraph">
                  <wp:posOffset>64770</wp:posOffset>
                </wp:positionV>
                <wp:extent cx="1495425" cy="342900"/>
                <wp:effectExtent l="0" t="0" r="2540" b="1905"/>
                <wp:wrapNone/>
                <wp:docPr id="35" name="Надпись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hanging="142"/>
                            </w:pPr>
                            <w:r>
                              <w:rPr>
                                <w:i/>
                              </w:rPr>
                              <w:t xml:space="preserve">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Надпись 35" o:spid="_x0000_s1026" o:spt="202" type="#_x0000_t202" style="position:absolute;left:0pt;margin-left:362.05pt;margin-top:5.1pt;height:27pt;width:117.75pt;mso-position-horizontal-relative:margin;z-index:251666432;mso-width-relative:page;mso-height-relative:page;" filled="f" stroked="f" coordsize="21600,21600" o:gfxdata="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WAAAAZHJzL1BLAQIUABQAAAAIAIdO4kCcuzFj1gAAAAkBAAAP&#10;AAAAAAAAAAEAIAAAADgAAABkcnMvZG93bnJldi54bWxQSwECFAAUAAAACACHTuJAOTu1zQQCAADO&#10;AwAADgAAAAAAAAABACAAAAA7AQAAZHJzL2Uyb0RvYy54bWxQSwUGAAAAAAYABgBZAQAAs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ind w:hanging="142"/>
                      </w:pPr>
                      <w:r>
                        <w:rPr>
                          <w:i/>
                        </w:rPr>
                        <w:t xml:space="preserve">   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647700</wp:posOffset>
                </wp:positionH>
                <wp:positionV relativeFrom="paragraph">
                  <wp:posOffset>71755</wp:posOffset>
                </wp:positionV>
                <wp:extent cx="1286510" cy="342900"/>
                <wp:effectExtent l="0" t="0" r="0" b="4445"/>
                <wp:wrapNone/>
                <wp:docPr id="33" name="Надпись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651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Надпись 33" o:spid="_x0000_s1026" o:spt="202" type="#_x0000_t202" style="position:absolute;left:0pt;margin-left:51pt;margin-top:5.65pt;height:27pt;width:101.3pt;z-index:251665408;mso-width-relative:page;mso-height-relative:page;" filled="f" stroked="f" coordsize="21600,21600" o:gfxdata="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FgAAAGRycy9QSwECFAAUAAAACACHTuJAHI5tvNYAAAAJAQAA&#10;DwAAAAAAAAABACAAAAA4AAAAZHJzL2Rvd25yZXYueG1sUEsBAhQAFAAAAAgAh07iQD/i9dMFAgAA&#10;zgMAAA4AAAAAAAAAAQAgAAAAOwEAAGRycy9lMm9Eb2MueG1sUEsFBgAAAAAGAAYAWQEAALI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suppressAutoHyphens w:val="0"/>
        <w:spacing w:line="240" w:lineRule="auto"/>
        <w:jc w:val="left"/>
        <w:rPr>
          <w:rFonts w:eastAsia="MS Mincho"/>
          <w:b/>
        </w:rPr>
      </w:pPr>
      <w:r>
        <w:rPr>
          <w:rFonts w:eastAsia="MS Mincho"/>
        </w:rPr>
        <w:t>Студент ________________</w:t>
      </w:r>
      <w:r>
        <w:rPr>
          <w:rFonts w:eastAsia="MS Mincho"/>
        </w:rPr>
        <w:tab/>
      </w:r>
      <w:r>
        <w:rPr>
          <w:rFonts w:eastAsia="MS Mincho"/>
        </w:rPr>
        <w:tab/>
      </w:r>
      <w:r>
        <w:rPr>
          <w:rFonts w:eastAsia="MS Mincho"/>
        </w:rPr>
        <w:tab/>
      </w:r>
      <w:r>
        <w:rPr>
          <w:rFonts w:eastAsia="MS Mincho"/>
        </w:rPr>
        <w:tab/>
      </w:r>
      <w:r>
        <w:rPr>
          <w:rFonts w:eastAsia="MS Mincho"/>
          <w:b/>
        </w:rPr>
        <w:t xml:space="preserve">_________________  </w:t>
      </w:r>
    </w:p>
    <w:p>
      <w:pPr>
        <w:suppressAutoHyphens w:val="0"/>
        <w:spacing w:line="240" w:lineRule="auto"/>
        <w:ind w:left="708" w:right="283" w:firstLine="708"/>
        <w:jc w:val="left"/>
        <w:rPr>
          <w:rFonts w:eastAsia="MS Mincho"/>
          <w:sz w:val="18"/>
          <w:szCs w:val="18"/>
        </w:rPr>
      </w:pPr>
      <w:r>
        <w:rPr>
          <w:rFonts w:eastAsia="MS Mincho"/>
          <w:sz w:val="18"/>
          <w:szCs w:val="18"/>
        </w:rPr>
        <w:t>(Группа)</w:t>
      </w:r>
      <w:r>
        <w:rPr>
          <w:rFonts w:eastAsia="MS Mincho"/>
          <w:sz w:val="18"/>
          <w:szCs w:val="18"/>
        </w:rPr>
        <w:tab/>
      </w:r>
      <w:r>
        <w:rPr>
          <w:rFonts w:eastAsia="MS Mincho"/>
          <w:sz w:val="18"/>
          <w:szCs w:val="18"/>
        </w:rPr>
        <w:tab/>
      </w:r>
      <w:r>
        <w:rPr>
          <w:rFonts w:eastAsia="MS Mincho"/>
          <w:sz w:val="18"/>
          <w:szCs w:val="18"/>
        </w:rPr>
        <w:tab/>
      </w:r>
      <w:r>
        <w:rPr>
          <w:rFonts w:eastAsia="MS Mincho"/>
          <w:sz w:val="18"/>
          <w:szCs w:val="18"/>
        </w:rPr>
        <w:tab/>
      </w:r>
      <w:r>
        <w:rPr>
          <w:rFonts w:eastAsia="MS Mincho"/>
          <w:sz w:val="18"/>
          <w:szCs w:val="18"/>
        </w:rPr>
        <w:tab/>
      </w:r>
      <w:r>
        <w:rPr>
          <w:rFonts w:eastAsia="MS Mincho"/>
          <w:sz w:val="18"/>
          <w:szCs w:val="18"/>
        </w:rPr>
        <w:t xml:space="preserve">         (Подпись, дата)                       (И.О.Фамилия)            </w:t>
      </w:r>
    </w:p>
    <w:p>
      <w:pPr>
        <w:suppressAutoHyphens w:val="0"/>
        <w:spacing w:line="240" w:lineRule="auto"/>
        <w:rPr>
          <w:rFonts w:eastAsia="MS Mincho"/>
          <w:sz w:val="20"/>
        </w:rPr>
      </w:pPr>
    </w:p>
    <w:p>
      <w:pPr>
        <w:suppressAutoHyphens w:val="0"/>
        <w:spacing w:line="240" w:lineRule="auto"/>
        <w:rPr>
          <w:rFonts w:eastAsia="MS Mincho"/>
          <w:sz w:val="20"/>
        </w:rPr>
      </w:pPr>
      <w:r>
        <w:rPr>
          <w:rFonts w:ascii="Calibri" w:hAnsi="Calibri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76835</wp:posOffset>
                </wp:positionV>
                <wp:extent cx="1736090" cy="342900"/>
                <wp:effectExtent l="0" t="635" r="0" b="0"/>
                <wp:wrapNone/>
                <wp:docPr id="32" name="Надпись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609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firstLine="709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Надпись 32" o:spid="_x0000_s1026" o:spt="202" type="#_x0000_t202" style="position:absolute;left:0pt;margin-top:6.05pt;height:27pt;width:136.7pt;mso-position-horizontal:right;mso-position-horizontal-relative:margin;z-index:251667456;mso-width-relative:page;mso-height-relative:page;" filled="f" stroked="f" coordsize="21600,21600" o:gfxdata="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BYAAABkcnMvUEsBAhQAFAAAAAgAh07iQJ7rViXUAAAABgEAAA8A&#10;AAAAAAAAAQAgAAAAOAAAAGRycy9kb3ducmV2LnhtbFBLAQIUABQAAAAIAIdO4kCgmui0BQIAAM4D&#10;AAAOAAAAAAAAAAEAIAAAADkBAABkcnMvZTJvRG9jLnhtbFBLBQYAAAAABgAGAFkBAACw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ind w:firstLine="709"/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suppressAutoHyphens w:val="0"/>
        <w:spacing w:line="240" w:lineRule="auto"/>
        <w:jc w:val="left"/>
        <w:rPr>
          <w:rFonts w:eastAsia="MS Mincho"/>
          <w:b/>
        </w:rPr>
      </w:pPr>
      <w:r>
        <w:rPr>
          <w:rFonts w:eastAsia="MS Mincho"/>
        </w:rPr>
        <w:t xml:space="preserve">Руководитель курсовой работы </w:t>
      </w:r>
      <w:r>
        <w:rPr>
          <w:rFonts w:eastAsia="MS Mincho"/>
        </w:rPr>
        <w:tab/>
      </w:r>
      <w:r>
        <w:rPr>
          <w:rFonts w:eastAsia="MS Mincho"/>
        </w:rPr>
        <w:tab/>
      </w:r>
      <w:r>
        <w:rPr>
          <w:rFonts w:eastAsia="MS Mincho"/>
        </w:rPr>
        <w:tab/>
      </w:r>
      <w:r>
        <w:rPr>
          <w:rFonts w:eastAsia="MS Mincho"/>
          <w:b/>
        </w:rPr>
        <w:t xml:space="preserve">_________________   </w:t>
      </w:r>
      <w:r>
        <w:rPr>
          <w:rFonts w:eastAsia="MS Mincho"/>
          <w:b/>
        </w:rPr>
        <w:tab/>
      </w:r>
      <w:r>
        <w:rPr>
          <w:rFonts w:eastAsia="MS Mincho"/>
          <w:b/>
        </w:rPr>
        <w:tab/>
      </w:r>
      <w:r>
        <w:rPr>
          <w:rFonts w:eastAsia="MS Mincho"/>
          <w:b/>
        </w:rPr>
        <w:tab/>
      </w:r>
    </w:p>
    <w:p>
      <w:pPr>
        <w:suppressAutoHyphens w:val="0"/>
        <w:spacing w:line="240" w:lineRule="auto"/>
        <w:jc w:val="left"/>
        <w:rPr>
          <w:rFonts w:eastAsia="MS Mincho"/>
          <w:sz w:val="18"/>
          <w:szCs w:val="18"/>
        </w:rPr>
      </w:pPr>
      <w:r>
        <w:rPr>
          <w:rFonts w:eastAsia="MS Mincho"/>
          <w:b/>
        </w:rPr>
        <w:tab/>
      </w:r>
      <w:r>
        <w:rPr>
          <w:rFonts w:eastAsia="MS Mincho"/>
          <w:b/>
        </w:rPr>
        <w:tab/>
      </w:r>
      <w:r>
        <w:rPr>
          <w:rFonts w:eastAsia="MS Mincho"/>
          <w:b/>
        </w:rPr>
        <w:tab/>
      </w:r>
      <w:r>
        <w:rPr>
          <w:rFonts w:eastAsia="MS Mincho"/>
          <w:b/>
        </w:rPr>
        <w:tab/>
      </w:r>
      <w:r>
        <w:rPr>
          <w:rFonts w:eastAsia="MS Mincho"/>
          <w:b/>
        </w:rPr>
        <w:tab/>
      </w:r>
      <w:r>
        <w:rPr>
          <w:rFonts w:eastAsia="MS Mincho"/>
          <w:b/>
        </w:rPr>
        <w:tab/>
      </w:r>
      <w:r>
        <w:rPr>
          <w:rFonts w:eastAsia="MS Mincho"/>
          <w:b/>
        </w:rPr>
        <w:tab/>
      </w:r>
      <w:r>
        <w:rPr>
          <w:rFonts w:eastAsia="MS Mincho"/>
          <w:b/>
        </w:rPr>
        <w:t xml:space="preserve">       </w:t>
      </w:r>
      <w:r>
        <w:rPr>
          <w:rFonts w:eastAsia="MS Mincho"/>
          <w:sz w:val="18"/>
          <w:szCs w:val="18"/>
        </w:rPr>
        <w:t xml:space="preserve">(Подпись, дата)                        (И.О.Фамилия)           </w:t>
      </w:r>
    </w:p>
    <w:p>
      <w:pPr>
        <w:suppressAutoHyphens w:val="0"/>
        <w:spacing w:line="240" w:lineRule="auto"/>
        <w:jc w:val="left"/>
        <w:rPr>
          <w:rFonts w:eastAsia="MS Mincho"/>
          <w:sz w:val="18"/>
          <w:szCs w:val="18"/>
        </w:rPr>
      </w:pPr>
    </w:p>
    <w:p>
      <w:pPr>
        <w:suppressAutoHyphens w:val="0"/>
        <w:spacing w:line="240" w:lineRule="auto"/>
        <w:jc w:val="left"/>
        <w:rPr>
          <w:rFonts w:eastAsia="MS Mincho"/>
          <w:sz w:val="18"/>
          <w:szCs w:val="18"/>
        </w:rPr>
      </w:pPr>
    </w:p>
    <w:p>
      <w:pPr>
        <w:suppressAutoHyphens w:val="0"/>
        <w:spacing w:line="240" w:lineRule="auto"/>
        <w:jc w:val="left"/>
        <w:rPr>
          <w:rFonts w:eastAsia="MS Mincho"/>
          <w:sz w:val="18"/>
          <w:szCs w:val="18"/>
        </w:rPr>
      </w:pPr>
    </w:p>
    <w:p>
      <w:pPr>
        <w:suppressAutoHyphens w:val="0"/>
        <w:spacing w:line="240" w:lineRule="auto"/>
        <w:jc w:val="left"/>
        <w:rPr>
          <w:rFonts w:eastAsia="MS Mincho"/>
          <w:sz w:val="18"/>
          <w:szCs w:val="18"/>
        </w:rPr>
      </w:pPr>
    </w:p>
    <w:p>
      <w:pPr>
        <w:suppressAutoHyphens w:val="0"/>
        <w:spacing w:line="240" w:lineRule="auto"/>
        <w:jc w:val="left"/>
        <w:rPr>
          <w:rFonts w:eastAsia="MS Mincho"/>
          <w:sz w:val="18"/>
          <w:szCs w:val="18"/>
        </w:rPr>
      </w:pPr>
    </w:p>
    <w:p>
      <w:pPr>
        <w:suppressAutoHyphens w:val="0"/>
        <w:spacing w:line="240" w:lineRule="auto"/>
        <w:jc w:val="left"/>
        <w:rPr>
          <w:rFonts w:eastAsia="MS Mincho"/>
          <w:sz w:val="18"/>
          <w:szCs w:val="18"/>
        </w:rPr>
      </w:pPr>
    </w:p>
    <w:p>
      <w:pPr>
        <w:suppressAutoHyphens w:val="0"/>
        <w:spacing w:line="240" w:lineRule="auto"/>
        <w:jc w:val="left"/>
        <w:rPr>
          <w:rFonts w:eastAsia="MS Mincho"/>
          <w:b/>
        </w:rPr>
      </w:pPr>
      <w:r>
        <w:rPr>
          <w:rFonts w:ascii="Calibri" w:hAnsi="Calibri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5606415</wp:posOffset>
                </wp:positionH>
                <wp:positionV relativeFrom="paragraph">
                  <wp:posOffset>8001000</wp:posOffset>
                </wp:positionV>
                <wp:extent cx="1369695" cy="342900"/>
                <wp:effectExtent l="0" t="0" r="0" b="0"/>
                <wp:wrapNone/>
                <wp:docPr id="31" name="Надпись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969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Н.С. Бульчук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Надпись 31" o:spid="_x0000_s1026" o:spt="202" type="#_x0000_t202" style="position:absolute;left:0pt;margin-left:441.45pt;margin-top:630pt;height:27pt;width:107.85pt;z-index:251662336;mso-width-relative:page;mso-height-relative:page;" filled="f" stroked="f" coordsize="21600,21600" o:gfxdata="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WAAAAZHJzL1BLAQIUABQAAAAIAIdO4kAqAGHQ2QAAAA4B&#10;AAAPAAAAAAAAAAEAIAAAADgAAABkcnMvZG93bnJldi54bWxQSwECFAAUAAAACACHTuJAybIBzAQC&#10;AADOAwAADgAAAAAAAAABACAAAAA+AQAAZHJzL2Uyb0RvYy54bWxQSwUGAAAAAAYABgBZAQAAtA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Н.С. Бульчук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5606415</wp:posOffset>
                </wp:positionH>
                <wp:positionV relativeFrom="paragraph">
                  <wp:posOffset>8001000</wp:posOffset>
                </wp:positionV>
                <wp:extent cx="1369695" cy="342900"/>
                <wp:effectExtent l="0" t="0" r="0" b="0"/>
                <wp:wrapNone/>
                <wp:docPr id="30" name="Надпись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969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Н.С. Бульчук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Надпись 30" o:spid="_x0000_s1026" o:spt="202" type="#_x0000_t202" style="position:absolute;left:0pt;margin-left:441.45pt;margin-top:630pt;height:27pt;width:107.85pt;z-index:251663360;mso-width-relative:page;mso-height-relative:page;" filled="f" stroked="f" coordsize="21600,21600" o:gfxdata="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WAAAAZHJzL1BLAQIUABQAAAAIAIdO4kAqAGHQ2QAAAA4B&#10;AAAPAAAAAAAAAAEAIAAAADgAAABkcnMvZG93bnJldi54bWxQSwECFAAUAAAACACHTuJAY3TwdgQC&#10;AADOAwAADgAAAAAAAAABACAAAAA+AQAAZHJzL2Uyb0RvYy54bWxQSwUGAAAAAAYABgBZAQAAtA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Н.С. Бульчук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5606415</wp:posOffset>
                </wp:positionH>
                <wp:positionV relativeFrom="paragraph">
                  <wp:posOffset>8001000</wp:posOffset>
                </wp:positionV>
                <wp:extent cx="1369695" cy="342900"/>
                <wp:effectExtent l="0" t="0" r="0" b="0"/>
                <wp:wrapNone/>
                <wp:docPr id="29" name="Надпись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969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Н.С. Бульчук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Надпись 29" o:spid="_x0000_s1026" o:spt="202" type="#_x0000_t202" style="position:absolute;left:0pt;margin-left:441.45pt;margin-top:630pt;height:27pt;width:107.85pt;z-index:251664384;mso-width-relative:page;mso-height-relative:page;" filled="f" stroked="f" coordsize="21600,21600" o:gfxdata="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FgAAAGRycy9QSwECFAAUAAAACACHTuJAKgBh0NkAAAAO&#10;AQAADwAAAAAAAAABACAAAAA4AAAAZHJzL2Rvd25yZXYueG1sUEsBAhQAFAAAAAgAh07iQG4vYS0F&#10;AgAAzgMAAA4AAAAAAAAAAQAgAAAAPgEAAGRycy9lMm9Eb2MueG1sUEsFBgAAAAAGAAYAWQEAALUF&#10;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Н.С. Бульчук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uppressAutoHyphens w:val="0"/>
        <w:spacing w:line="240" w:lineRule="auto"/>
        <w:jc w:val="center"/>
        <w:rPr>
          <w:rFonts w:eastAsia="MS Mincho"/>
        </w:rPr>
      </w:pPr>
      <w:r>
        <w:rPr>
          <w:rFonts w:eastAsia="MS Mincho"/>
        </w:rPr>
        <w:t>Москва, 2022 г.</w:t>
      </w:r>
    </w:p>
    <w:p>
      <w:pPr>
        <w:suppressAutoHyphens w:val="0"/>
        <w:spacing w:line="240" w:lineRule="auto"/>
        <w:jc w:val="left"/>
        <w:rPr>
          <w:rFonts w:eastAsia="MS Mincho"/>
        </w:rPr>
      </w:pPr>
      <w:r>
        <w:rPr>
          <w:rFonts w:eastAsia="MS Mincho"/>
        </w:rPr>
        <w:br w:type="page"/>
      </w:r>
    </w:p>
    <w:p>
      <w:pPr>
        <w:suppressAutoHyphens w:val="0"/>
        <w:spacing w:line="240" w:lineRule="auto"/>
        <w:jc w:val="left"/>
        <w:rPr>
          <w:rFonts w:eastAsia="MS Mincho"/>
        </w:rPr>
      </w:pPr>
    </w:p>
    <w:p>
      <w:pPr>
        <w:suppressAutoHyphens w:val="0"/>
        <w:spacing w:line="240" w:lineRule="auto"/>
        <w:jc w:val="center"/>
        <w:rPr>
          <w:rFonts w:eastAsia="MS Mincho"/>
        </w:rPr>
      </w:pPr>
      <w:bookmarkStart w:id="76" w:name="_GoBack"/>
      <w:bookmarkEnd w:id="76"/>
    </w:p>
    <w:p>
      <w:pPr>
        <w:suppressAutoHyphens w:val="0"/>
        <w:spacing w:line="240" w:lineRule="auto"/>
        <w:jc w:val="left"/>
        <w:rPr>
          <w:rFonts w:eastAsia="MS Mincho"/>
        </w:rPr>
      </w:pPr>
      <w:r>
        <w:rPr>
          <w:rFonts w:eastAsia="MS Mincho"/>
        </w:rPr>
        <w:br w:type="page"/>
      </w:r>
    </w:p>
    <w:sdt>
      <w:sdtPr>
        <w:rPr>
          <w:rFonts w:ascii="Times New Roman" w:hAnsi="Times New Roman" w:eastAsia="Times New Roman" w:cs="Times New Roman"/>
          <w:b w:val="0"/>
          <w:bCs w:val="0"/>
          <w:color w:val="auto"/>
          <w:sz w:val="24"/>
          <w:szCs w:val="24"/>
        </w:rPr>
        <w:id w:val="0"/>
        <w:docPartObj>
          <w:docPartGallery w:val="Table of Contents"/>
          <w:docPartUnique/>
        </w:docPartObj>
      </w:sdtPr>
      <w:sdtEndPr>
        <w:rPr>
          <w:rFonts w:ascii="Times New Roman" w:hAnsi="Times New Roman" w:eastAsia="Times New Roman" w:cs="Times New Roman"/>
          <w:b/>
          <w:bCs w:val="0"/>
          <w:color w:val="auto"/>
          <w:sz w:val="24"/>
          <w:szCs w:val="24"/>
        </w:rPr>
      </w:sdtEndPr>
      <w:sdtContent>
        <w:p>
          <w:pPr>
            <w:pStyle w:val="39"/>
            <w:spacing w:line="240" w:lineRule="auto"/>
            <w:jc w:val="center"/>
            <w:rPr>
              <w:rFonts w:ascii="Times New Roman" w:hAnsi="Times New Roman" w:cs="Times New Roman"/>
              <w:b w:val="0"/>
              <w:color w:val="auto"/>
              <w:sz w:val="24"/>
              <w:szCs w:val="24"/>
            </w:rPr>
          </w:pPr>
          <w:r>
            <w:rPr>
              <w:rFonts w:ascii="Times New Roman" w:hAnsi="Times New Roman" w:cs="Times New Roman"/>
              <w:b w:val="0"/>
              <w:color w:val="auto"/>
              <w:sz w:val="24"/>
              <w:szCs w:val="24"/>
            </w:rPr>
            <w:t>СОДЕРЖАНИЕ</w:t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rPr>
              <w:rFonts w:ascii="Times New Roman" w:hAnsi="Times New Roman"/>
              <w:b/>
              <w:bCs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b/>
              <w:bCs/>
              <w:smallCaps w:val="0"/>
              <w:sz w:val="24"/>
              <w:szCs w:val="24"/>
            </w:rPr>
            <w:instrText xml:space="preserve"> TOC \o "1-3" \h \z \u </w:instrText>
          </w:r>
          <w:r>
            <w:rPr>
              <w:rFonts w:ascii="Times New Roman" w:hAnsi="Times New Roman"/>
              <w:b/>
              <w:bCs/>
              <w:smallCaps w:val="0"/>
              <w:sz w:val="24"/>
              <w:szCs w:val="24"/>
            </w:rPr>
            <w:fldChar w:fldCharType="separate"/>
          </w:r>
          <w:r>
            <w:fldChar w:fldCharType="begin"/>
          </w:r>
          <w:r>
            <w:instrText xml:space="preserve"> HYPERLINK \l "_Toc102599164"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Введение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_Toc102599164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4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"_Toc102599165"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 Исследовательский раздел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_Toc102599165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6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"_Toc102599166"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1.1 Анализ требований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_Toc102599166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6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tabs>
              <w:tab w:val="left" w:pos="720"/>
            </w:tabs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"_Toc102599167"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1.2</w:t>
          </w:r>
          <w:r>
            <w:rPr>
              <w:rFonts w:ascii="Times New Roman" w:hAnsi="Times New Roman" w:eastAsiaTheme="minorEastAsia"/>
              <w:smallCaps w:val="0"/>
              <w:sz w:val="24"/>
              <w:szCs w:val="24"/>
            </w:rPr>
            <w:tab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Описание предметной области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_Toc102599167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6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tabs>
              <w:tab w:val="left" w:pos="960"/>
            </w:tabs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"_Toc102599168"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1.2.1</w:t>
          </w:r>
          <w:r>
            <w:rPr>
              <w:rFonts w:ascii="Times New Roman" w:hAnsi="Times New Roman" w:eastAsiaTheme="minorEastAsia"/>
              <w:smallCaps w:val="0"/>
              <w:sz w:val="24"/>
              <w:szCs w:val="24"/>
            </w:rPr>
            <w:tab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Коллекторные электродвигатели постоянного тока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_Toc102599168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6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"_Toc102599169"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1.2.1.1 Конструкция коллекторного электродвигателя постоянного тока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_Toc102599169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6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"_Toc102599170"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1.2.2 Принцип работы коллекторного двигателя. Типы коллекторных электродвигателей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_Toc102599170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7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"_Toc102599171"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1.2.2.1 Коллекторный двигатель с постоянными магнитами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_Toc102599171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7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"_Toc102599172"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1.2.2.2 Коллекторный двигатель с обмотками возбуждения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_Toc102599172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8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"_Toc102599173"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1.2.2.3 Двигатели независимого и параллельного возбуждения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_Toc102599173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9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"_Toc102599174"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1.2.2.4 Двигатель последовательного возбуждения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_Toc102599174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10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"_Toc102599175"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1.2.2.5 Двигатель смешанного возбуждения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_Toc102599175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12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"_Toc102599176"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1.2.3 Характеристики коллекторного электродвигателя постоянного тока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_Toc102599176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12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"_Toc102599177"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1.2.4 Основные параметры электродвигателя постоянного тока. Постоянная момента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_Toc102599177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13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"_Toc102599178"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1.2.5 Датчики Холла для контроля частоты вращения коллекторных электродвигателей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_Toc102599178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13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"_Toc102599179"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1.2.6 Основы регулирования и стабилизации частоты вращения коллекторных электродвигателей на основе широтно-импульсной модуляции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_Toc102599179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17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tabs>
              <w:tab w:val="left" w:pos="720"/>
            </w:tabs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"_Toc102599180"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1.3</w:t>
          </w:r>
          <w:r>
            <w:rPr>
              <w:rFonts w:ascii="Times New Roman" w:hAnsi="Times New Roman" w:eastAsiaTheme="minorEastAsia"/>
              <w:smallCaps w:val="0"/>
              <w:sz w:val="24"/>
              <w:szCs w:val="24"/>
            </w:rPr>
            <w:tab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Выбор и обоснование технического решения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_Toc102599180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18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"_Toc102599181"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1.3.1 Структурная схема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_Toc102599181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18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"_Toc102599182"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1.3.2 Функциональная схема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_Toc102599182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19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"_Toc102599183"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1.4 Вывод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_Toc102599183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19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"_Toc102599184"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2 Конструкторский раздел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_Toc102599184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20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"_Toc102599185"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2.1 Выбор компонентов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_Toc102599185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20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"_Toc102599186"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2.1.1 Выбор датчика Холла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_Toc102599186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20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"_Toc102599187"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2.1.2 Выбор элементов схемы регулирования и стабилизации частоты вращения коллекторного электродвигателя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_Toc102599187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22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"_Toc102599188"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2.2 Разработка схемы принципиальной электрической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_Toc102599188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23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"_Toc102599189"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2.2.1 Разработка схемы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_Toc102599189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23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"_Toc102599190"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2.2.2 Моделирование элементов схемы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_Toc102599190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23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"_Toc102599191"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2.2.3 Расчет погрешности стабилизации частоты вращения КЭ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_Toc102599191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23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"_Toc102599192"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Заключение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_Toc102599192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24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"_Toc102599193"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</w:rPr>
            <w:t>СПИСОК ИСПОЛЬЗОВАННЫХ ИСТОЧНИКОВ И ЛИТЕРАТУРЫ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_Toc102599193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25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pStyle w:val="16"/>
            <w:rPr>
              <w:rFonts w:ascii="Times New Roman" w:hAnsi="Times New Roman" w:eastAsiaTheme="minorEastAsia"/>
              <w:smallCaps w:val="0"/>
              <w:sz w:val="24"/>
              <w:szCs w:val="24"/>
            </w:rPr>
          </w:pPr>
          <w:r>
            <w:fldChar w:fldCharType="begin"/>
          </w:r>
          <w:r>
            <w:instrText xml:space="preserve"> HYPERLINK \l "_Toc102599194" </w:instrText>
          </w:r>
          <w:r>
            <w:fldChar w:fldCharType="separate"/>
          </w:r>
          <w:r>
            <w:rPr>
              <w:rStyle w:val="28"/>
              <w:rFonts w:ascii="Times New Roman" w:hAnsi="Times New Roman"/>
              <w:smallCaps w:val="0"/>
              <w:sz w:val="24"/>
              <w:szCs w:val="24"/>
              <w:lang w:val="en-US"/>
            </w:rPr>
            <w:t>Приложение А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tab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begin"/>
          </w:r>
          <w:r>
            <w:rPr>
              <w:rFonts w:ascii="Times New Roman" w:hAnsi="Times New Roman"/>
              <w:smallCaps w:val="0"/>
              <w:sz w:val="24"/>
              <w:szCs w:val="24"/>
            </w:rPr>
            <w:instrText xml:space="preserve"> PAGEREF _Toc102599194 \h </w:instrTex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separate"/>
          </w:r>
          <w:r>
            <w:rPr>
              <w:rFonts w:ascii="Times New Roman" w:hAnsi="Times New Roman"/>
              <w:smallCaps w:val="0"/>
              <w:sz w:val="24"/>
              <w:szCs w:val="24"/>
            </w:rPr>
            <w:t>26</w:t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  <w:r>
            <w:rPr>
              <w:rFonts w:ascii="Times New Roman" w:hAnsi="Times New Roman"/>
              <w:smallCaps w:val="0"/>
              <w:sz w:val="24"/>
              <w:szCs w:val="24"/>
            </w:rPr>
            <w:fldChar w:fldCharType="end"/>
          </w:r>
        </w:p>
        <w:p>
          <w:pPr>
            <w:spacing w:line="276" w:lineRule="auto"/>
            <w:jc w:val="left"/>
          </w:pPr>
          <w:r>
            <w:rPr>
              <w:b/>
              <w:bCs/>
            </w:rPr>
            <w:fldChar w:fldCharType="end"/>
          </w:r>
        </w:p>
      </w:sdtContent>
    </w:sdt>
    <w:p>
      <w:pPr>
        <w:rPr>
          <w:rFonts w:asciiTheme="majorHAnsi" w:hAnsiTheme="majorHAnsi"/>
          <w:szCs w:val="28"/>
        </w:rPr>
      </w:pPr>
      <w:r>
        <w:rPr>
          <w:rFonts w:asciiTheme="majorHAnsi" w:hAnsiTheme="majorHAnsi"/>
          <w:b/>
          <w:bCs/>
          <w:szCs w:val="28"/>
        </w:rPr>
        <w:br w:type="page"/>
      </w:r>
    </w:p>
    <w:p>
      <w:pPr>
        <w:pStyle w:val="3"/>
      </w:pPr>
      <w:bookmarkStart w:id="0" w:name="_Toc70671176"/>
      <w:bookmarkStart w:id="1" w:name="_Toc102599164"/>
      <w:bookmarkStart w:id="2" w:name="_Toc82713031"/>
      <w:r>
        <w:t>Введение</w:t>
      </w:r>
      <w:bookmarkEnd w:id="0"/>
      <w:bookmarkEnd w:id="1"/>
      <w:bookmarkEnd w:id="2"/>
    </w:p>
    <w:p>
      <w:pPr>
        <w:ind w:firstLine="709"/>
      </w:pPr>
      <w:r>
        <w:t>Электродвигатель постоянного тока (ДПТ) представляют собой механизм, преобразующий поступающую на него электрическую энергию в механическое вращение [1…6]. Работа агрегата базируется на явлении электромагнитной индукции - на проводник, помещенный в магнитное поле, действует сила Ампера: F = B*I*L, где L - длина проводника, I - ток, протекающий по проводнику, B - индукция магнитного поля. Данная сила обуславливает возникновение крутящего момента, который может быть использован для неких практических целей.</w:t>
      </w:r>
    </w:p>
    <w:p>
      <w:pPr>
        <w:ind w:firstLine="709"/>
      </w:pPr>
      <w:r>
        <w:t>Электродвигатели постоянного тока обладают следующими преимуществами:</w:t>
      </w:r>
    </w:p>
    <w:p>
      <w:pPr>
        <w:pStyle w:val="55"/>
        <w:numPr>
          <w:ilvl w:val="0"/>
          <w:numId w:val="4"/>
        </w:numPr>
        <w:jc w:val="left"/>
      </w:pPr>
      <w:r>
        <w:t>Практически линейные регулировочные и механические характеристики, благодаря чему обеспечивается удобство эксплуатации.</w:t>
      </w:r>
    </w:p>
    <w:p>
      <w:pPr>
        <w:pStyle w:val="55"/>
        <w:numPr>
          <w:ilvl w:val="0"/>
          <w:numId w:val="4"/>
        </w:numPr>
        <w:jc w:val="left"/>
      </w:pPr>
      <w:r>
        <w:t>Большая величина пускового момента.</w:t>
      </w:r>
    </w:p>
    <w:p>
      <w:pPr>
        <w:pStyle w:val="55"/>
        <w:numPr>
          <w:ilvl w:val="0"/>
          <w:numId w:val="4"/>
        </w:numPr>
        <w:jc w:val="left"/>
      </w:pPr>
      <w:r>
        <w:t>Компактные размеры (особенно сильно выражено у двигателей на постоянных магнитах).</w:t>
      </w:r>
    </w:p>
    <w:p>
      <w:pPr>
        <w:pStyle w:val="55"/>
        <w:numPr>
          <w:ilvl w:val="0"/>
          <w:numId w:val="4"/>
        </w:numPr>
        <w:jc w:val="left"/>
      </w:pPr>
      <w:r>
        <w:t>Возможность использования одного и того же механизма как в режиме двигателя, так и генератора.</w:t>
      </w:r>
    </w:p>
    <w:p>
      <w:pPr>
        <w:pStyle w:val="55"/>
        <w:numPr>
          <w:ilvl w:val="0"/>
          <w:numId w:val="4"/>
        </w:numPr>
        <w:jc w:val="left"/>
      </w:pPr>
      <w:r>
        <w:t>КПД при полной нагрузке, как правило, выше на 1–2% чем у асинхронных и синхронных машин, а при неполной нагрузке преимущество может возрастать до 15%.</w:t>
      </w:r>
    </w:p>
    <w:p>
      <w:pPr>
        <w:pStyle w:val="55"/>
        <w:ind w:firstLine="709"/>
      </w:pPr>
      <w:r>
        <w:t>Основным недостатком данных устройств является высокая цена их изготовления. Также стоит отметить необходимость регулярного обслуживания коллекторно-щеточного узла и определенное ограничение срока эксплуатации, вызванные его износом, однако на современных моделях эти недостатки практически полностью нивелированы.</w:t>
      </w:r>
    </w:p>
    <w:p>
      <w:pPr>
        <w:pStyle w:val="55"/>
        <w:ind w:firstLine="709"/>
      </w:pPr>
      <w:r>
        <w:t>Стоит отметить, что механическая характеристика, а значит, и все эксплуатационные показатели во многом зависят от схемы подключения обмотки возбуждения и схемы стабилизации частоты вращения электродвигателя при изменении нагрузки на валу, на основе системы ШИМ, при заданной частоте вращения.</w:t>
      </w:r>
    </w:p>
    <w:p>
      <w:pPr>
        <w:pStyle w:val="55"/>
        <w:ind w:firstLine="709"/>
      </w:pPr>
      <w:r>
        <w:t>Несмотря на то, что подавляющее большинство электрических сетей обеспечивают переменное напряжение, электродвигатели постоянного тока используются весьма и весьма широко. Собственно говоря, все промышленные приводы, где требуется точная регулировка частоты вращения, реализованы именно на базе ДПТ. Кроме того, электрические машины на постоянных магнитах благодаря своей эффективности и большой плотности мощности широко используются в оборонительной отрасли, в частности в малогабаритных дронах разведовательного и боевого применения. Впрочем, не стоит думать, что вы не сталкивались вживую с данными механизмами. Отсутствие жестких ограничений по размерам приводит к тому, что мы зачастую их не замечаем. Например, в автомобилестроении используются только электродвигатели постоянного тока, причем, несмотря на различие в мощности, на всем грузовом транспорте и спецтехнике они запитаны от 24 вольт, в то время как на легковых автомобилях их рабочее напряжение составляет 12 вольт. Получая энергию от аккумуляторной батареи или генератора, они отвечают за позиционирование сидений, управление зеркалами, поднятие и опускание стекол, а также поддержание в салоне заданной температуры.</w:t>
      </w:r>
    </w:p>
    <w:p>
      <w:pPr>
        <w:pStyle w:val="55"/>
        <w:ind w:firstLine="709"/>
      </w:pPr>
      <w:r>
        <w:t>Впрочем, электродвигатели постоянного тока могут и сами приводить в движение транспортные средства, и это далеко не только игрушечные автомобили-аттракционы с 12-вольтным аккумулятором. Для того чтобы ощутить, насколько мощными могут быть эти устройства, достаточно оказаться вблизи проходящей мимо пригородной электрички, а мягкость и точность регулировки оборотов наглядно демонстрирует плавный разгон троллейбусов.</w:t>
      </w:r>
    </w:p>
    <w:p>
      <w:pPr>
        <w:pStyle w:val="55"/>
        <w:ind w:firstLine="709"/>
      </w:pPr>
      <w:r>
        <w:t>В настоящей курсовой работе и предложено, согласно задания, разработать систему стабилизации установленной частоты вращения коллекторного электродвигателя постоянного тока на основе ШИМ (широтно-импульсной модуляции), с обратной связью (изменения частоты вращения электродвигателя) на основе датчиков Холла. Что является актуальной задачей для решения.</w:t>
      </w:r>
      <w:r>
        <w:br w:type="page"/>
      </w:r>
      <w:bookmarkStart w:id="3" w:name="_Toc70671177"/>
      <w:bookmarkStart w:id="4" w:name="_Toc82713032"/>
    </w:p>
    <w:p>
      <w:pPr>
        <w:pStyle w:val="3"/>
        <w:rPr>
          <w:rStyle w:val="40"/>
          <w:b/>
        </w:rPr>
      </w:pPr>
      <w:bookmarkStart w:id="5" w:name="_Toc102599165"/>
      <w:r>
        <w:rPr>
          <w:rStyle w:val="40"/>
          <w:b/>
        </w:rPr>
        <w:t>1 Исследовательский раздел</w:t>
      </w:r>
      <w:bookmarkEnd w:id="3"/>
      <w:bookmarkEnd w:id="4"/>
      <w:bookmarkEnd w:id="5"/>
    </w:p>
    <w:p>
      <w:pPr>
        <w:pStyle w:val="3"/>
      </w:pPr>
      <w:bookmarkStart w:id="6" w:name="_Toc70671178"/>
      <w:bookmarkStart w:id="7" w:name="_Toc102599166"/>
      <w:bookmarkStart w:id="8" w:name="_Toc82713033"/>
      <w:r>
        <w:t>1.1 Анализ требований</w:t>
      </w:r>
      <w:bookmarkEnd w:id="6"/>
      <w:bookmarkEnd w:id="7"/>
      <w:bookmarkEnd w:id="8"/>
      <w:r>
        <w:t xml:space="preserve"> </w:t>
      </w:r>
    </w:p>
    <w:p>
      <w:pPr>
        <w:pStyle w:val="55"/>
      </w:pPr>
      <w:r>
        <w:t>Основным требованием технического задания является разработка</w:t>
      </w:r>
    </w:p>
    <w:p>
      <w:r>
        <w:t>«Стабилизатора частоты вращения коллекторного электродвигателя постоянного тока 12 В с датчиком частоты вращения на основе эффекта Холла».</w:t>
      </w:r>
    </w:p>
    <w:p>
      <w:pPr>
        <w:pStyle w:val="55"/>
        <w:rPr>
          <w:lang w:val="en-US"/>
        </w:rPr>
      </w:pPr>
      <w:r>
        <w:t xml:space="preserve">В результате проектирования требуется: </w:t>
      </w:r>
    </w:p>
    <w:p>
      <w:pPr>
        <w:pStyle w:val="55"/>
        <w:numPr>
          <w:ilvl w:val="0"/>
          <w:numId w:val="5"/>
        </w:numPr>
      </w:pPr>
      <w:r>
        <w:t>описать принцип действия всех элементов и устройства в целом;</w:t>
      </w:r>
    </w:p>
    <w:p>
      <w:pPr>
        <w:pStyle w:val="55"/>
        <w:numPr>
          <w:ilvl w:val="0"/>
          <w:numId w:val="5"/>
        </w:numPr>
      </w:pPr>
      <w:r>
        <w:t>разработать и описать структурную схему устройства;</w:t>
      </w:r>
    </w:p>
    <w:p>
      <w:pPr>
        <w:pStyle w:val="55"/>
        <w:numPr>
          <w:ilvl w:val="0"/>
          <w:numId w:val="5"/>
        </w:numPr>
      </w:pPr>
      <w:r>
        <w:t>разработать и описать функциональную схему устройства;</w:t>
      </w:r>
    </w:p>
    <w:p>
      <w:pPr>
        <w:pStyle w:val="55"/>
        <w:numPr>
          <w:ilvl w:val="0"/>
          <w:numId w:val="5"/>
        </w:numPr>
      </w:pPr>
      <w:r>
        <w:t xml:space="preserve">разработать принципиальную схему и перечень элементов; </w:t>
      </w:r>
    </w:p>
    <w:p>
      <w:pPr>
        <w:pStyle w:val="55"/>
        <w:numPr>
          <w:ilvl w:val="0"/>
          <w:numId w:val="5"/>
        </w:numPr>
      </w:pPr>
      <w:r>
        <w:t>выполнить анализ полученных результатов.</w:t>
      </w:r>
    </w:p>
    <w:p>
      <w:pPr>
        <w:pStyle w:val="3"/>
        <w:numPr>
          <w:ilvl w:val="1"/>
          <w:numId w:val="6"/>
        </w:numPr>
      </w:pPr>
      <w:bookmarkStart w:id="9" w:name="_Toc70671179"/>
      <w:bookmarkStart w:id="10" w:name="_Toc82713034"/>
      <w:r>
        <w:t xml:space="preserve"> </w:t>
      </w:r>
      <w:bookmarkStart w:id="11" w:name="_Toc102599167"/>
      <w:r>
        <w:t>Описание предметной области</w:t>
      </w:r>
      <w:bookmarkEnd w:id="9"/>
      <w:bookmarkEnd w:id="10"/>
      <w:bookmarkEnd w:id="11"/>
    </w:p>
    <w:p>
      <w:pPr>
        <w:pStyle w:val="3"/>
        <w:numPr>
          <w:ilvl w:val="2"/>
          <w:numId w:val="7"/>
        </w:numPr>
      </w:pPr>
      <w:bookmarkStart w:id="12" w:name="_Toc82713035"/>
      <w:bookmarkStart w:id="13" w:name="_Toc70671180"/>
      <w:bookmarkStart w:id="14" w:name="_Toc102599168"/>
      <w:r>
        <w:t>Коллекторные электродвигатели</w:t>
      </w:r>
      <w:bookmarkEnd w:id="12"/>
      <w:bookmarkEnd w:id="13"/>
      <w:r>
        <w:t xml:space="preserve"> постоянного тока</w:t>
      </w:r>
      <w:bookmarkEnd w:id="14"/>
    </w:p>
    <w:p>
      <w:r>
        <w:rPr>
          <w:b/>
          <w:bCs/>
        </w:rPr>
        <w:tab/>
      </w:r>
      <w:r>
        <w:rPr>
          <w:b/>
          <w:bCs/>
        </w:rPr>
        <w:t xml:space="preserve">Коллекторный электродвигатель постоянного тока </w:t>
      </w:r>
      <w:r>
        <w:t xml:space="preserve">- </w:t>
      </w:r>
      <w:r>
        <w:fldChar w:fldCharType="begin"/>
      </w:r>
      <w:r>
        <w:instrText xml:space="preserve"> HYPERLINK "https://engineering-solutions.ru/motorcontrol/electricmachine/" \l "rotating_machine" </w:instrText>
      </w:r>
      <w:r>
        <w:fldChar w:fldCharType="separate"/>
      </w:r>
      <w:r>
        <w:rPr>
          <w:rStyle w:val="28"/>
          <w:color w:val="auto"/>
          <w:u w:val="none"/>
        </w:rPr>
        <w:t>вращающаяся электрическая машина</w:t>
      </w:r>
      <w:r>
        <w:rPr>
          <w:rStyle w:val="28"/>
          <w:color w:val="auto"/>
          <w:u w:val="none"/>
        </w:rPr>
        <w:fldChar w:fldCharType="end"/>
      </w:r>
      <w:r>
        <w:t xml:space="preserve"> </w:t>
      </w:r>
      <w:r>
        <w:fldChar w:fldCharType="begin"/>
      </w:r>
      <w:r>
        <w:instrText xml:space="preserve"> HYPERLINK "https://engineering-solutions.ru/motorcontrol/dcmotor/" </w:instrText>
      </w:r>
      <w:r>
        <w:fldChar w:fldCharType="separate"/>
      </w:r>
      <w:r>
        <w:rPr>
          <w:rStyle w:val="28"/>
          <w:color w:val="auto"/>
          <w:u w:val="none"/>
        </w:rPr>
        <w:t>постоянного тока</w:t>
      </w:r>
      <w:r>
        <w:rPr>
          <w:rStyle w:val="28"/>
          <w:color w:val="auto"/>
          <w:u w:val="none"/>
        </w:rPr>
        <w:fldChar w:fldCharType="end"/>
      </w:r>
      <w:r>
        <w:t xml:space="preserve">, преобразующая электрическую энергию постоянного тока в механическую энергию, у которой хотя бы одна из обмоток, участвующих в основном процессе преобразования энергии, соединена с </w:t>
      </w:r>
      <w:r>
        <w:fldChar w:fldCharType="begin"/>
      </w:r>
      <w:r>
        <w:instrText xml:space="preserve"> HYPERLINK "https://engineering-solutions.ru/motorcontrol/brushdcmotor/" \l "commutator" </w:instrText>
      </w:r>
      <w:r>
        <w:fldChar w:fldCharType="separate"/>
      </w:r>
      <w:r>
        <w:rPr>
          <w:rStyle w:val="28"/>
          <w:color w:val="auto"/>
          <w:u w:val="none"/>
        </w:rPr>
        <w:t>коллектором</w:t>
      </w:r>
      <w:r>
        <w:rPr>
          <w:rStyle w:val="28"/>
          <w:color w:val="auto"/>
          <w:u w:val="none"/>
        </w:rPr>
        <w:fldChar w:fldCharType="end"/>
      </w:r>
      <w:r>
        <w:t xml:space="preserve"> [1…5].</w:t>
      </w:r>
    </w:p>
    <w:p>
      <w:pPr>
        <w:pStyle w:val="3"/>
      </w:pPr>
      <w:bookmarkStart w:id="15" w:name="_Toc102599169"/>
      <w:r>
        <w:t>1.2.1.1 Конструкция коллекторного электродвигателя постоянного тока</w:t>
      </w:r>
      <w:bookmarkEnd w:id="15"/>
    </w:p>
    <w:p>
      <w:pPr>
        <w:jc w:val="center"/>
      </w:pPr>
      <w:r>
        <w:drawing>
          <wp:inline distT="0" distB="0" distL="0" distR="0">
            <wp:extent cx="3219450" cy="212153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/>
                    </pic:cNvPicPr>
                  </pic:nvPicPr>
                  <pic:blipFill>
                    <a:blip r:embed="rId7" cstate="screen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2730" cy="213725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t>Рисунок 1 - Электродвигатель постоянного тока с постоянными магнитами в разрезе</w:t>
      </w:r>
    </w:p>
    <w:p>
      <w:r>
        <w:rPr>
          <w:b/>
        </w:rPr>
        <w:t>Ротор -</w:t>
      </w:r>
      <w:r>
        <w:t xml:space="preserve"> вращающаяся часть </w:t>
      </w:r>
      <w:r>
        <w:fldChar w:fldCharType="begin"/>
      </w:r>
      <w:r>
        <w:instrText xml:space="preserve"> HYPERLINK "https://engineering-solutions.ru/motorcontrol/electricmachine/" </w:instrText>
      </w:r>
      <w:r>
        <w:fldChar w:fldCharType="separate"/>
      </w:r>
      <w:r>
        <w:rPr>
          <w:rStyle w:val="28"/>
          <w:color w:val="auto"/>
          <w:u w:val="none"/>
        </w:rPr>
        <w:t>электрической машины</w:t>
      </w:r>
      <w:r>
        <w:rPr>
          <w:rStyle w:val="28"/>
          <w:color w:val="auto"/>
          <w:u w:val="none"/>
        </w:rPr>
        <w:fldChar w:fldCharType="end"/>
      </w:r>
      <w:r>
        <w:t>.</w:t>
      </w:r>
      <w:bookmarkStart w:id="16" w:name="inductor"/>
    </w:p>
    <w:p>
      <w:r>
        <w:rPr>
          <w:b/>
        </w:rPr>
        <w:t>Статор</w:t>
      </w:r>
      <w:r>
        <w:t xml:space="preserve"> - неподвижная часть двигателя.</w:t>
      </w:r>
    </w:p>
    <w:bookmarkEnd w:id="16"/>
    <w:p>
      <w:r>
        <w:rPr>
          <w:b/>
          <w:bCs/>
        </w:rPr>
        <w:t xml:space="preserve">Индуктор - </w:t>
      </w:r>
      <w:r>
        <w:t xml:space="preserve">система возбуждения) – часть </w:t>
      </w:r>
      <w:r>
        <w:fldChar w:fldCharType="begin"/>
      </w:r>
      <w:r>
        <w:instrText xml:space="preserve"> HYPERLINK "https://engineering-solutions.ru/motorcontrol/motor/" \l "brush" </w:instrText>
      </w:r>
      <w:r>
        <w:fldChar w:fldCharType="separate"/>
      </w:r>
      <w:r>
        <w:rPr>
          <w:rStyle w:val="28"/>
          <w:color w:val="auto"/>
          <w:u w:val="none"/>
        </w:rPr>
        <w:t>коллекторной машины</w:t>
      </w:r>
      <w:r>
        <w:rPr>
          <w:rStyle w:val="28"/>
          <w:color w:val="auto"/>
          <w:u w:val="none"/>
        </w:rPr>
        <w:fldChar w:fldCharType="end"/>
      </w:r>
      <w:r>
        <w:t xml:space="preserve"> постоянного тока или </w:t>
      </w:r>
      <w:r>
        <w:fldChar w:fldCharType="begin"/>
      </w:r>
      <w:r>
        <w:instrText xml:space="preserve"> HYPERLINK "https://engineering-solutions.ru/motorcontrol/synchronous/" </w:instrText>
      </w:r>
      <w:r>
        <w:fldChar w:fldCharType="separate"/>
      </w:r>
      <w:r>
        <w:rPr>
          <w:rStyle w:val="28"/>
          <w:color w:val="auto"/>
          <w:u w:val="none"/>
        </w:rPr>
        <w:t>синхронной машины</w:t>
      </w:r>
      <w:r>
        <w:rPr>
          <w:rStyle w:val="28"/>
          <w:color w:val="auto"/>
          <w:u w:val="none"/>
        </w:rPr>
        <w:fldChar w:fldCharType="end"/>
      </w:r>
      <w:r>
        <w:t xml:space="preserve">, создающая магнитный поток для образования момента. Идуктор обязательно включает либо </w:t>
      </w:r>
      <w:r>
        <w:rPr>
          <w:bCs/>
        </w:rPr>
        <w:t>постоянные магниты,</w:t>
      </w:r>
      <w:r>
        <w:t xml:space="preserve"> либо </w:t>
      </w:r>
      <w:r>
        <w:rPr>
          <w:bCs/>
        </w:rPr>
        <w:t>обмотку возбуждения</w:t>
      </w:r>
      <w:r>
        <w:t>. Индуктор может быть частью как ротора, так и статора. В двигателе, изображенном на рис.1, система возбуждения состоит из двух постоянных магнитов и входит в состав статора.</w:t>
      </w:r>
    </w:p>
    <w:p>
      <w:r>
        <w:rPr>
          <w:b/>
        </w:rPr>
        <w:t>Якорь</w:t>
      </w:r>
      <w:r>
        <w:t xml:space="preserve"> – часть </w:t>
      </w:r>
      <w:r>
        <w:fldChar w:fldCharType="begin"/>
      </w:r>
      <w:r>
        <w:instrText xml:space="preserve"> HYPERLINK "https://engineering-solutions.ru/motorcontrol/motor/" \l "brush" </w:instrText>
      </w:r>
      <w:r>
        <w:fldChar w:fldCharType="separate"/>
      </w:r>
      <w:r>
        <w:rPr>
          <w:rStyle w:val="28"/>
          <w:color w:val="auto"/>
          <w:u w:val="none"/>
        </w:rPr>
        <w:t>коллекторной машины</w:t>
      </w:r>
      <w:r>
        <w:rPr>
          <w:rStyle w:val="28"/>
          <w:color w:val="auto"/>
          <w:u w:val="none"/>
        </w:rPr>
        <w:fldChar w:fldCharType="end"/>
      </w:r>
      <w:r>
        <w:t xml:space="preserve"> постоянного тока или </w:t>
      </w:r>
      <w:r>
        <w:fldChar w:fldCharType="begin"/>
      </w:r>
      <w:r>
        <w:instrText xml:space="preserve"> HYPERLINK "https://engineering-solutions.ru/motorcontrol/synchronous/" </w:instrText>
      </w:r>
      <w:r>
        <w:fldChar w:fldCharType="separate"/>
      </w:r>
      <w:r>
        <w:rPr>
          <w:rStyle w:val="28"/>
          <w:color w:val="auto"/>
          <w:u w:val="none"/>
        </w:rPr>
        <w:t>синхронной машины</w:t>
      </w:r>
      <w:r>
        <w:rPr>
          <w:rStyle w:val="28"/>
          <w:color w:val="auto"/>
          <w:u w:val="none"/>
        </w:rPr>
        <w:fldChar w:fldCharType="end"/>
      </w:r>
      <w:r>
        <w:t xml:space="preserve">, в которой индуктируется электродвижущая сила и протекает ток нагрузки </w:t>
      </w:r>
      <w:r>
        <w:fldChar w:fldCharType="begin"/>
      </w:r>
      <w:r>
        <w:instrText xml:space="preserve"> HYPERLINK "https://engineering-solutions.ru/motorcontrol/brushdcmotor/" \l "2" </w:instrText>
      </w:r>
      <w:r>
        <w:fldChar w:fldCharType="separate"/>
      </w:r>
      <w:r>
        <w:rPr>
          <w:rStyle w:val="28"/>
          <w:color w:val="auto"/>
          <w:u w:val="none"/>
        </w:rPr>
        <w:t>[2]</w:t>
      </w:r>
      <w:r>
        <w:rPr>
          <w:rStyle w:val="28"/>
          <w:color w:val="auto"/>
          <w:u w:val="none"/>
        </w:rPr>
        <w:fldChar w:fldCharType="end"/>
      </w:r>
      <w:r>
        <w:t>. В качестве якоря может выступать как ротор, так и статор. В двигателе, показанном на рис.1, ротор является якорем.</w:t>
      </w:r>
    </w:p>
    <w:p>
      <w:r>
        <w:rPr>
          <w:b/>
        </w:rPr>
        <w:t>Щётки</w:t>
      </w:r>
      <w:r>
        <w:t xml:space="preserve"> - часть электрической цепи, по которой от источника питания электрический ток передается к якорю. Щетки изготавливаются из графита или других материалов. Двигатель постоянного тока содержит одну пару щеток или более. Одна из двух щеток соединяется с положительным, а другая - с отрицательным выводом источника питания.</w:t>
      </w:r>
    </w:p>
    <w:p>
      <w:r>
        <w:rPr>
          <w:b/>
        </w:rPr>
        <w:t>Коллектор</w:t>
      </w:r>
      <w:r>
        <w:t xml:space="preserve"> - часть двигателя, контактирующая со щетками. С помощью щеток и коллектора электрический ток распределяется по катушкам обмотки якоря </w:t>
      </w:r>
      <w:r>
        <w:fldChar w:fldCharType="begin"/>
      </w:r>
      <w:r>
        <w:instrText xml:space="preserve"> HYPERLINK "https://engineering-solutions.ru/motorcontrol/brushdcmotor/" \l "1" </w:instrText>
      </w:r>
      <w:r>
        <w:fldChar w:fldCharType="separate"/>
      </w:r>
      <w:r>
        <w:rPr>
          <w:rStyle w:val="28"/>
          <w:color w:val="auto"/>
        </w:rPr>
        <w:t>[</w:t>
      </w:r>
      <w:r>
        <w:rPr>
          <w:rStyle w:val="28"/>
          <w:color w:val="auto"/>
          <w:u w:val="none"/>
        </w:rPr>
        <w:t>1</w:t>
      </w:r>
      <w:r>
        <w:rPr>
          <w:rStyle w:val="28"/>
          <w:color w:val="auto"/>
        </w:rPr>
        <w:t>]</w:t>
      </w:r>
      <w:r>
        <w:rPr>
          <w:rStyle w:val="28"/>
          <w:color w:val="auto"/>
        </w:rPr>
        <w:fldChar w:fldCharType="end"/>
      </w:r>
      <w:r>
        <w:t>.</w:t>
      </w:r>
    </w:p>
    <w:p>
      <w:pPr>
        <w:pStyle w:val="3"/>
      </w:pPr>
      <w:bookmarkStart w:id="17" w:name="_Toc102599170"/>
      <w:r>
        <w:t xml:space="preserve">1.2.2 </w:t>
      </w:r>
      <w:r>
        <w:fldChar w:fldCharType="begin"/>
      </w:r>
      <w:r>
        <w:instrText xml:space="preserve"> HYPERLINK "https://engineering-solutions.ru/motorcontrol/motor/" \l "principle" </w:instrText>
      </w:r>
      <w:r>
        <w:fldChar w:fldCharType="separate"/>
      </w:r>
      <w:r>
        <w:rPr>
          <w:rStyle w:val="28"/>
          <w:color w:val="auto"/>
          <w:u w:val="none"/>
        </w:rPr>
        <w:t>Принцип работы коллекторного двигателя</w:t>
      </w:r>
      <w:r>
        <w:rPr>
          <w:rStyle w:val="28"/>
          <w:color w:val="auto"/>
          <w:u w:val="none"/>
        </w:rPr>
        <w:fldChar w:fldCharType="end"/>
      </w:r>
      <w:r>
        <w:t>. Типы коллекторных электродвигателей</w:t>
      </w:r>
      <w:bookmarkEnd w:id="17"/>
    </w:p>
    <w:p>
      <w:r>
        <w:tab/>
      </w:r>
      <w:r>
        <w:t xml:space="preserve">По конструкции статора коллекторный двигатель может быть </w:t>
      </w:r>
      <w:r>
        <w:fldChar w:fldCharType="begin"/>
      </w:r>
      <w:r>
        <w:instrText xml:space="preserve"> HYPERLINK "https://engineering-solutions.ru/motorcontrol/brushdcmotor/" \l "pmdc" </w:instrText>
      </w:r>
      <w:r>
        <w:fldChar w:fldCharType="separate"/>
      </w:r>
      <w:r>
        <w:rPr>
          <w:rStyle w:val="28"/>
          <w:color w:val="auto"/>
          <w:u w:val="none"/>
        </w:rPr>
        <w:t>с постоянными магнитами</w:t>
      </w:r>
      <w:r>
        <w:rPr>
          <w:rStyle w:val="28"/>
          <w:color w:val="auto"/>
          <w:u w:val="none"/>
        </w:rPr>
        <w:fldChar w:fldCharType="end"/>
      </w:r>
      <w:r>
        <w:t xml:space="preserve"> и </w:t>
      </w:r>
      <w:r>
        <w:fldChar w:fldCharType="begin"/>
      </w:r>
      <w:r>
        <w:instrText xml:space="preserve"> HYPERLINK "https://engineering-solutions.ru/motorcontrol/brushdcmotor/" \l "wound_stator" </w:instrText>
      </w:r>
      <w:r>
        <w:fldChar w:fldCharType="separate"/>
      </w:r>
      <w:r>
        <w:rPr>
          <w:rStyle w:val="28"/>
          <w:color w:val="auto"/>
          <w:u w:val="none"/>
        </w:rPr>
        <w:t>с обмотками возбуждения</w:t>
      </w:r>
      <w:r>
        <w:rPr>
          <w:rStyle w:val="28"/>
          <w:color w:val="auto"/>
          <w:u w:val="none"/>
        </w:rPr>
        <w:fldChar w:fldCharType="end"/>
      </w:r>
      <w:r>
        <w:t>.</w:t>
      </w:r>
    </w:p>
    <w:p>
      <w:pPr>
        <w:pStyle w:val="3"/>
      </w:pPr>
      <w:bookmarkStart w:id="18" w:name="_Toc102599171"/>
      <w:r>
        <w:t>1.2.2.1 Коллекторный двигатель с постоянными магнитами</w:t>
      </w:r>
      <w:bookmarkEnd w:id="18"/>
    </w:p>
    <w:p>
      <w:pPr>
        <w:jc w:val="center"/>
      </w:pPr>
      <w:r>
        <w:drawing>
          <wp:inline distT="0" distB="0" distL="0" distR="0">
            <wp:extent cx="1625600" cy="1165860"/>
            <wp:effectExtent l="0" t="0" r="0" b="0"/>
            <wp:docPr id="24" name="Рисунок 24" descr="Коллекторный двигатель с постоянными магнита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 descr="Коллекторный двигатель с постоянными магнитами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74481" cy="120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t>Рисунок 2 - Схема коллекторного двигателя с постоянными магнитами</w:t>
      </w:r>
    </w:p>
    <w:p>
      <w:r>
        <w:tab/>
      </w:r>
      <w:r>
        <w:t>Коллекторный двигатель постоянного тока (КДПТ) с постоянными магнитами является наиболее распространенным среди КДПТ. </w:t>
      </w:r>
      <w:r>
        <w:fldChar w:fldCharType="begin"/>
      </w:r>
      <w:r>
        <w:instrText xml:space="preserve"> HYPERLINK "https://engineering-solutions.ru/motorcontrol/brushdcmotor/" \l "inductor" </w:instrText>
      </w:r>
      <w:r>
        <w:fldChar w:fldCharType="separate"/>
      </w:r>
      <w:r>
        <w:rPr>
          <w:rStyle w:val="28"/>
          <w:color w:val="auto"/>
          <w:u w:val="none"/>
        </w:rPr>
        <w:t>Индуктор</w:t>
      </w:r>
      <w:r>
        <w:rPr>
          <w:rStyle w:val="28"/>
          <w:color w:val="auto"/>
          <w:u w:val="none"/>
        </w:rPr>
        <w:fldChar w:fldCharType="end"/>
      </w:r>
      <w:r>
        <w:t> этого двигателя включает постоянные магниты, которые создают магнитное поле статора. Коллекторные двигатели постоянного тока с постоянными магнитами (КДПТ ПМ) обычно используются в задачах не требующих больших мощностей. КДПТ ПМ дешевле в производстве, чем коллекторные двигатели с обмотками возбуждения. При этом момент КДПТ ПМ ограничен полем постоянных магнитов статора. КДПТ с постоянными магнитами очень быстро реагирует на изменение напряжения. Благодаря постоянному полю статора легко управлять скоростью двигателя. Недостатком электродвигателя постоянного тока с постоянными магнитами является то, что со временем магниты теряют свои магнитные свойства, в результате чего уменьшается поле статора и снижаются характеристики двигателя.</w:t>
      </w:r>
    </w:p>
    <w:p>
      <w:r>
        <w:rPr>
          <w:b/>
          <w:bCs/>
        </w:rPr>
        <w:t>Преимущества:</w:t>
      </w:r>
    </w:p>
    <w:p>
      <w:pPr>
        <w:numPr>
          <w:ilvl w:val="0"/>
          <w:numId w:val="8"/>
        </w:numPr>
        <w:jc w:val="left"/>
      </w:pPr>
      <w:r>
        <w:t>лучшее соотношение цена/качество</w:t>
      </w:r>
    </w:p>
    <w:p>
      <w:pPr>
        <w:numPr>
          <w:ilvl w:val="0"/>
          <w:numId w:val="8"/>
        </w:numPr>
        <w:jc w:val="left"/>
      </w:pPr>
      <w:r>
        <w:t>высокий момент на низких оборотах</w:t>
      </w:r>
    </w:p>
    <w:p>
      <w:pPr>
        <w:numPr>
          <w:ilvl w:val="0"/>
          <w:numId w:val="8"/>
        </w:numPr>
        <w:jc w:val="left"/>
      </w:pPr>
      <w:r>
        <w:t>быстрый отклик на изменение напряжения</w:t>
      </w:r>
    </w:p>
    <w:p>
      <w:r>
        <w:rPr>
          <w:b/>
          <w:bCs/>
        </w:rPr>
        <w:t>Недостатки:</w:t>
      </w:r>
    </w:p>
    <w:p>
      <w:pPr>
        <w:numPr>
          <w:ilvl w:val="0"/>
          <w:numId w:val="9"/>
        </w:numPr>
      </w:pPr>
      <w:r>
        <w:t>постоянные магниты со временем, а также под воздействием высоких температур теряют свои магнитные свойства</w:t>
      </w:r>
    </w:p>
    <w:p>
      <w:pPr>
        <w:pStyle w:val="3"/>
      </w:pPr>
      <w:bookmarkStart w:id="19" w:name="_Toc102599172"/>
      <w:r>
        <w:t>1.2.2.2 Коллекторный двигатель с обмотками возбуждения</w:t>
      </w:r>
      <w:bookmarkEnd w:id="19"/>
    </w:p>
    <w:p>
      <w:r>
        <w:tab/>
      </w:r>
      <w:r>
        <w:t>По схеме подключения обмотки статора коллекторные электродвигатели с обмотками возбуждения разделяют на двигатели:</w:t>
      </w:r>
    </w:p>
    <w:p>
      <w:pPr>
        <w:numPr>
          <w:ilvl w:val="0"/>
          <w:numId w:val="10"/>
        </w:numPr>
      </w:pPr>
      <w:r>
        <w:fldChar w:fldCharType="begin"/>
      </w:r>
      <w:r>
        <w:instrText xml:space="preserve"> HYPERLINK "https://engineering-solutions.ru/motorcontrol/brushdcmotor/" \l "separately_excited" \o "Коллекторный двигатель постоянного тока независимого возбуждения" </w:instrText>
      </w:r>
      <w:r>
        <w:fldChar w:fldCharType="separate"/>
      </w:r>
      <w:r>
        <w:rPr>
          <w:rStyle w:val="28"/>
          <w:color w:val="auto"/>
          <w:u w:val="none"/>
        </w:rPr>
        <w:t>независимого возбуждения</w:t>
      </w:r>
      <w:r>
        <w:rPr>
          <w:rStyle w:val="28"/>
          <w:color w:val="auto"/>
          <w:u w:val="none"/>
        </w:rPr>
        <w:fldChar w:fldCharType="end"/>
      </w:r>
    </w:p>
    <w:p>
      <w:pPr>
        <w:numPr>
          <w:ilvl w:val="0"/>
          <w:numId w:val="10"/>
        </w:numPr>
      </w:pPr>
      <w:r>
        <w:fldChar w:fldCharType="begin"/>
      </w:r>
      <w:r>
        <w:instrText xml:space="preserve"> HYPERLINK "https://engineering-solutions.ru/motorcontrol/brushdcmotor/" \l "swdc" \o "Коллекторный двигатель постоянного тока последовательного возбуждения" </w:instrText>
      </w:r>
      <w:r>
        <w:fldChar w:fldCharType="separate"/>
      </w:r>
      <w:r>
        <w:rPr>
          <w:rStyle w:val="28"/>
          <w:color w:val="auto"/>
          <w:u w:val="none"/>
        </w:rPr>
        <w:t>последовательного возбуждения</w:t>
      </w:r>
      <w:r>
        <w:rPr>
          <w:rStyle w:val="28"/>
          <w:color w:val="auto"/>
          <w:u w:val="none"/>
        </w:rPr>
        <w:fldChar w:fldCharType="end"/>
      </w:r>
    </w:p>
    <w:p>
      <w:pPr>
        <w:numPr>
          <w:ilvl w:val="0"/>
          <w:numId w:val="10"/>
        </w:numPr>
      </w:pPr>
      <w:r>
        <w:fldChar w:fldCharType="begin"/>
      </w:r>
      <w:r>
        <w:instrText xml:space="preserve"> HYPERLINK "https://engineering-solutions.ru/motorcontrol/brushdcmotor/" \l "shwdc" \o "Коллекторный двигатель постоянного тока параллельного возбуждения" </w:instrText>
      </w:r>
      <w:r>
        <w:fldChar w:fldCharType="separate"/>
      </w:r>
      <w:r>
        <w:rPr>
          <w:rStyle w:val="28"/>
          <w:color w:val="auto"/>
          <w:u w:val="none"/>
        </w:rPr>
        <w:t>параллельного возбуждения</w:t>
      </w:r>
      <w:r>
        <w:rPr>
          <w:rStyle w:val="28"/>
          <w:color w:val="auto"/>
          <w:u w:val="none"/>
        </w:rPr>
        <w:fldChar w:fldCharType="end"/>
      </w:r>
    </w:p>
    <w:p>
      <w:pPr>
        <w:numPr>
          <w:ilvl w:val="0"/>
          <w:numId w:val="10"/>
        </w:numPr>
      </w:pPr>
      <w:r>
        <w:fldChar w:fldCharType="begin"/>
      </w:r>
      <w:r>
        <w:instrText xml:space="preserve"> HYPERLINK "https://engineering-solutions.ru/motorcontrol/brushdcmotor/" \l "cwdc" \o "Коллекторный двигатель постоянного тока смешанного возбуждения" </w:instrText>
      </w:r>
      <w:r>
        <w:fldChar w:fldCharType="separate"/>
      </w:r>
      <w:r>
        <w:rPr>
          <w:rStyle w:val="28"/>
          <w:color w:val="auto"/>
          <w:u w:val="none"/>
        </w:rPr>
        <w:t>смешанного возбуждения</w:t>
      </w:r>
      <w:r>
        <w:rPr>
          <w:rStyle w:val="28"/>
          <w:color w:val="auto"/>
          <w:u w:val="none"/>
        </w:rPr>
        <w:fldChar w:fldCharType="end"/>
      </w:r>
    </w:p>
    <w:p>
      <w:pPr>
        <w:jc w:val="center"/>
      </w:pPr>
      <w:r>
        <w:drawing>
          <wp:inline distT="0" distB="0" distL="0" distR="0">
            <wp:extent cx="1447800" cy="1734820"/>
            <wp:effectExtent l="0" t="0" r="0" b="0"/>
            <wp:docPr id="23" name="Рисунок 23" descr="Двигатель независимого возбужд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 descr="Двигатель независимого возбуждения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58552" cy="174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t>Рисунок 3 - Схема независимого возбуждения</w:t>
      </w:r>
    </w:p>
    <w:p>
      <w:pPr>
        <w:jc w:val="center"/>
      </w:pPr>
      <w:r>
        <w:drawing>
          <wp:inline distT="0" distB="0" distL="0" distR="0">
            <wp:extent cx="1365250" cy="1635760"/>
            <wp:effectExtent l="0" t="0" r="6350" b="2540"/>
            <wp:docPr id="22" name="Рисунок 22" descr="Двигатель параллельного возбужд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 descr="Двигатель параллельного возбуждения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7945" cy="1651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t>Рисунок 4 - Схема параллельного возбуждения</w:t>
      </w:r>
    </w:p>
    <w:p>
      <w:pPr>
        <w:jc w:val="center"/>
      </w:pPr>
      <w:r>
        <w:drawing>
          <wp:inline distT="0" distB="0" distL="0" distR="0">
            <wp:extent cx="1555750" cy="1863725"/>
            <wp:effectExtent l="0" t="0" r="6350" b="3175"/>
            <wp:docPr id="21" name="Рисунок 21" descr="Двигатель последовательного возбужд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Двигатель последовательного возбуждения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67760" cy="1878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t>Рисунок 5 - Схема последовательного возбуждения</w:t>
      </w:r>
    </w:p>
    <w:p>
      <w:pPr>
        <w:jc w:val="center"/>
      </w:pPr>
      <w:r>
        <w:drawing>
          <wp:inline distT="0" distB="0" distL="0" distR="0">
            <wp:extent cx="1689100" cy="2023745"/>
            <wp:effectExtent l="0" t="0" r="6350" b="0"/>
            <wp:docPr id="19" name="Рисунок 19" descr="Двигатель смешанного возбужд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Двигатель смешанного возбуждения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98279" cy="2035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t>Рисунок 6 - Схема смешанного возбуждения</w:t>
      </w:r>
    </w:p>
    <w:p>
      <w:pPr>
        <w:pStyle w:val="3"/>
      </w:pPr>
      <w:bookmarkStart w:id="20" w:name="_Toc102599173"/>
      <w:r>
        <w:t>1.2.2.3 Двигатели независимого и параллельного возбуждения</w:t>
      </w:r>
      <w:bookmarkEnd w:id="20"/>
    </w:p>
    <w:p>
      <w:r>
        <w:rPr>
          <w:b/>
          <w:bCs/>
        </w:rPr>
        <w:tab/>
      </w:r>
      <w:r>
        <w:t xml:space="preserve">В электродвигателях независимого возбуждения обмотка возбуждения электрически не связана с обмоткой </w:t>
      </w:r>
      <w:r>
        <w:fldChar w:fldCharType="begin"/>
      </w:r>
      <w:r>
        <w:instrText xml:space="preserve"> HYPERLINK "https://engineering-solutions.ru/motorcontrol/brushdcmotor/" \l "armature" </w:instrText>
      </w:r>
      <w:r>
        <w:fldChar w:fldCharType="separate"/>
      </w:r>
      <w:r>
        <w:rPr>
          <w:rStyle w:val="28"/>
          <w:color w:val="auto"/>
          <w:u w:val="none"/>
        </w:rPr>
        <w:t>якоря</w:t>
      </w:r>
      <w:r>
        <w:rPr>
          <w:rStyle w:val="28"/>
          <w:color w:val="auto"/>
          <w:u w:val="none"/>
        </w:rPr>
        <w:fldChar w:fldCharType="end"/>
      </w:r>
      <w:r>
        <w:t xml:space="preserve"> (рис.3). Обычно напряжение возбуждения U</w:t>
      </w:r>
      <w:r>
        <w:rPr>
          <w:vertAlign w:val="subscript"/>
        </w:rPr>
        <w:t>ОВ</w:t>
      </w:r>
      <w:r>
        <w:t xml:space="preserve"> отличается от напряжения в цепи якоря U. Если же напряжения равны, то обмотку возбуждения подключают параллельно обмотке якоря. Применение в электроприводе двигателя независимого или параллельного возбуждения определяется схемой электропривода. Свойства (характеристики) этих двигателей одинаковы </w:t>
      </w:r>
      <w:r>
        <w:fldChar w:fldCharType="begin"/>
      </w:r>
      <w:r>
        <w:instrText xml:space="preserve"> HYPERLINK "https://engineering-solutions.ru/motorcontrol/brushdcmotor/" \l "3" </w:instrText>
      </w:r>
      <w:r>
        <w:fldChar w:fldCharType="separate"/>
      </w:r>
      <w:r>
        <w:rPr>
          <w:rStyle w:val="28"/>
          <w:color w:val="auto"/>
          <w:u w:val="none"/>
        </w:rPr>
        <w:t>[3]</w:t>
      </w:r>
      <w:r>
        <w:rPr>
          <w:rStyle w:val="28"/>
          <w:color w:val="auto"/>
          <w:u w:val="none"/>
        </w:rPr>
        <w:fldChar w:fldCharType="end"/>
      </w:r>
      <w:r>
        <w:t>.</w:t>
      </w:r>
    </w:p>
    <w:p>
      <w:r>
        <w:tab/>
      </w:r>
      <w:r>
        <w:t>В двигателях параллельного возбуждения токи обмотки возбуждения (индуктора) и якоря не зависят друг от друга, а полный ток двигателя равен сумме тока обмотки возбуждения и тока якоря. Во время нормальной работы, при увеличении напряжения питания увеличивается полный ток двигателя, что приводит к увеличению полей статора и ротора. С увеличением полного тока двигателя скорость так же увеличивается, а момент уменьшается. При нагружении двигателя ток якоря увеличивается, в результате чего увеличивается поле якоря. При увеличении тока якоря, ток индуктора (обмотки возбуждения) уменьшается, в результате чего уменьшается поле индуктора, что приводит к уменьшению скорости двигателя, и увеличению момента.</w:t>
      </w:r>
    </w:p>
    <w:p>
      <w:r>
        <w:rPr>
          <w:b/>
          <w:bCs/>
        </w:rPr>
        <w:t>Преимущества:</w:t>
      </w:r>
    </w:p>
    <w:p>
      <w:pPr>
        <w:numPr>
          <w:ilvl w:val="0"/>
          <w:numId w:val="11"/>
        </w:numPr>
      </w:pPr>
      <w:r>
        <w:t>практически постоянный момент на низких оборотах</w:t>
      </w:r>
    </w:p>
    <w:p>
      <w:pPr>
        <w:numPr>
          <w:ilvl w:val="0"/>
          <w:numId w:val="11"/>
        </w:numPr>
      </w:pPr>
      <w:r>
        <w:t>хорошие регулировочные свойства</w:t>
      </w:r>
    </w:p>
    <w:p>
      <w:pPr>
        <w:numPr>
          <w:ilvl w:val="0"/>
          <w:numId w:val="11"/>
        </w:numPr>
      </w:pPr>
      <w:r>
        <w:t>отсутствие потерь магнетизма со временем (так как нет постоянных магнитов)</w:t>
      </w:r>
    </w:p>
    <w:p>
      <w:r>
        <w:rPr>
          <w:b/>
          <w:bCs/>
        </w:rPr>
        <w:t>Недостатки:</w:t>
      </w:r>
    </w:p>
    <w:p>
      <w:pPr>
        <w:numPr>
          <w:ilvl w:val="0"/>
          <w:numId w:val="12"/>
        </w:numPr>
      </w:pPr>
      <w:r>
        <w:t>дороже КДПТ ПМ</w:t>
      </w:r>
    </w:p>
    <w:p>
      <w:pPr>
        <w:numPr>
          <w:ilvl w:val="0"/>
          <w:numId w:val="12"/>
        </w:numPr>
      </w:pPr>
      <w:r>
        <w:t>двигатель выходит из-под контроля, если ток индуктора падает до нуля.</w:t>
      </w:r>
    </w:p>
    <w:p>
      <w:r>
        <w:tab/>
      </w:r>
      <w:r>
        <w:t xml:space="preserve">Коллекторный электродвигатель параллельного возбуждения имеет </w:t>
      </w:r>
      <w:r>
        <w:fldChar w:fldCharType="begin"/>
      </w:r>
      <w:r>
        <w:instrText xml:space="preserve"> HYPERLINK "https://engineering-solutions.ru/motorcontrol/brushdcmotor/" \l "characteristic" </w:instrText>
      </w:r>
      <w:r>
        <w:fldChar w:fldCharType="separate"/>
      </w:r>
      <w:r>
        <w:rPr>
          <w:rStyle w:val="28"/>
          <w:color w:val="auto"/>
          <w:u w:val="none"/>
        </w:rPr>
        <w:t>механическую характеристику</w:t>
      </w:r>
      <w:r>
        <w:rPr>
          <w:rStyle w:val="28"/>
          <w:color w:val="auto"/>
          <w:u w:val="none"/>
        </w:rPr>
        <w:fldChar w:fldCharType="end"/>
      </w:r>
      <w:r>
        <w:t xml:space="preserve"> с уменьшающимся моментом на высоких оборотах и высоким, но более постоянным моментом на низких оборотах. Ток в обмотке индуктора и якоря не зависит друг от друга, таким образом, общий ток электродвигателя равен сумме токов индуктора и якоря. Как результат данный тип двигателей имеет отличную характеристику управления скоростью. Коллекторный двигатель постоянного тока с параллельной обмоткой возбуждения обычно используется в приложениях, которые требуют мощность больше 3 кВт, в частности в автомобильных приложениях и промышленности. В сравнении с </w:t>
      </w:r>
      <w:r>
        <w:fldChar w:fldCharType="begin"/>
      </w:r>
      <w:r>
        <w:instrText xml:space="preserve"> HYPERLINK "https://engineering-solutions.ru/motorcontrol/brushdcmotor/" \l "pmdc" \o "Коллекторный двигатель постоянного тока с постоянными магнитами" </w:instrText>
      </w:r>
      <w:r>
        <w:fldChar w:fldCharType="separate"/>
      </w:r>
      <w:r>
        <w:rPr>
          <w:rStyle w:val="28"/>
          <w:color w:val="auto"/>
          <w:u w:val="none"/>
        </w:rPr>
        <w:t>КДПТ ПМ</w:t>
      </w:r>
      <w:r>
        <w:rPr>
          <w:rStyle w:val="28"/>
          <w:color w:val="auto"/>
          <w:u w:val="none"/>
        </w:rPr>
        <w:fldChar w:fldCharType="end"/>
      </w:r>
      <w:r>
        <w:t xml:space="preserve">, двигатель параллельного возбуждения не теряет магнитные свойства со временем и является более надежным. Недостатками двигателя параллельного возбуждения являются более высокая себестоимость и возможность выхода двигателя из-под контроля, в случае если ток индуктора снизится до нуля, что в свою очередь может привести к поломке двигателя </w:t>
      </w:r>
      <w:r>
        <w:fldChar w:fldCharType="begin"/>
      </w:r>
      <w:r>
        <w:instrText xml:space="preserve"> HYPERLINK "https://engineering-solutions.ru/motorcontrol/brushdcmotor/" \l "5" </w:instrText>
      </w:r>
      <w:r>
        <w:fldChar w:fldCharType="separate"/>
      </w:r>
      <w:r>
        <w:rPr>
          <w:rStyle w:val="28"/>
          <w:color w:val="auto"/>
        </w:rPr>
        <w:t>[</w:t>
      </w:r>
      <w:r>
        <w:rPr>
          <w:rStyle w:val="28"/>
          <w:color w:val="auto"/>
          <w:u w:val="none"/>
        </w:rPr>
        <w:t>5</w:t>
      </w:r>
      <w:r>
        <w:rPr>
          <w:rStyle w:val="28"/>
          <w:color w:val="auto"/>
        </w:rPr>
        <w:t>]</w:t>
      </w:r>
      <w:r>
        <w:rPr>
          <w:rStyle w:val="28"/>
          <w:color w:val="auto"/>
        </w:rPr>
        <w:fldChar w:fldCharType="end"/>
      </w:r>
      <w:r>
        <w:t>.</w:t>
      </w:r>
    </w:p>
    <w:p>
      <w:pPr>
        <w:pStyle w:val="3"/>
      </w:pPr>
      <w:bookmarkStart w:id="21" w:name="_Toc102599174"/>
      <w:r>
        <w:t>1.2.2.4 Двигатель последовательного возбуждения</w:t>
      </w:r>
      <w:bookmarkEnd w:id="21"/>
    </w:p>
    <w:p>
      <w:r>
        <w:tab/>
      </w:r>
      <w:r>
        <w:t>В электродвигателях последовательного возбуждения обмотка возбуждения включена последовательно с обмоткой якоря, при этом ток возбуждения равен току якоря (I</w:t>
      </w:r>
      <w:r>
        <w:rPr>
          <w:vertAlign w:val="subscript"/>
        </w:rPr>
        <w:t>в</w:t>
      </w:r>
      <w:r>
        <w:t>=I</w:t>
      </w:r>
      <w:r>
        <w:rPr>
          <w:vertAlign w:val="subscript"/>
        </w:rPr>
        <w:t>а</w:t>
      </w:r>
      <w:r>
        <w:t>), что придает двигателям особые свойства. При небольших нагрузках, когда ток якоря меньше номинального тока (I</w:t>
      </w:r>
      <w:r>
        <w:rPr>
          <w:vertAlign w:val="subscript"/>
        </w:rPr>
        <w:t>а</w:t>
      </w:r>
      <w:r>
        <w:t>&lt;I</w:t>
      </w:r>
      <w:r>
        <w:rPr>
          <w:vertAlign w:val="subscript"/>
        </w:rPr>
        <w:t>ном</w:t>
      </w:r>
      <w:r>
        <w:t>) и магнитная система двигателя не насыщена (Ф~I</w:t>
      </w:r>
      <w:r>
        <w:rPr>
          <w:vertAlign w:val="subscript"/>
        </w:rPr>
        <w:t>а</w:t>
      </w:r>
      <w:r>
        <w:t>), электромагнитный момент пропорционален квадрату тока в обмотке якоря:</w:t>
      </w:r>
    </w:p>
    <w:p>
      <w:pPr>
        <w:jc w:val="center"/>
      </w:pPr>
      <w:r>
        <w:drawing>
          <wp:inline distT="0" distB="0" distL="0" distR="0">
            <wp:extent cx="1555750" cy="260350"/>
            <wp:effectExtent l="0" t="0" r="6350" b="6350"/>
            <wp:docPr id="18" name="Рисунок 18" descr="M = cm∙Ф∙Ia = c'm∙Ia^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M = cm∙Ф∙Ia = c'm∙Ia^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55750" cy="26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,</w:t>
      </w:r>
    </w:p>
    <w:p>
      <w:r>
        <w:t xml:space="preserve">где </w:t>
      </w:r>
    </w:p>
    <w:p>
      <w:pPr>
        <w:jc w:val="left"/>
      </w:pPr>
      <w:r>
        <w:t xml:space="preserve">M – </w:t>
      </w:r>
      <w:r>
        <w:fldChar w:fldCharType="begin"/>
      </w:r>
      <w:r>
        <w:instrText xml:space="preserve"> HYPERLINK "https://engineering-solutions.ru/motorcontrol/motor/" \l "torque" </w:instrText>
      </w:r>
      <w:r>
        <w:fldChar w:fldCharType="separate"/>
      </w:r>
      <w:r>
        <w:rPr>
          <w:rStyle w:val="28"/>
          <w:color w:val="auto"/>
          <w:u w:val="none"/>
        </w:rPr>
        <w:t>момент электродвигателя</w:t>
      </w:r>
      <w:r>
        <w:rPr>
          <w:rStyle w:val="28"/>
          <w:color w:val="auto"/>
          <w:u w:val="none"/>
        </w:rPr>
        <w:fldChar w:fldCharType="end"/>
      </w:r>
      <w:r>
        <w:t>, Н∙м,</w:t>
      </w:r>
    </w:p>
    <w:p>
      <w:pPr>
        <w:jc w:val="left"/>
      </w:pPr>
      <w:r>
        <w:t>с</w:t>
      </w:r>
      <w:r>
        <w:rPr>
          <w:vertAlign w:val="subscript"/>
        </w:rPr>
        <w:t>М</w:t>
      </w:r>
      <w:r>
        <w:t xml:space="preserve"> – постоянный коэффициент, определяемый конструктивными параметрами двигателя,</w:t>
      </w:r>
    </w:p>
    <w:p>
      <w:pPr>
        <w:jc w:val="left"/>
      </w:pPr>
      <w:r>
        <w:t>Ф – основной магнитный поток, Вб,</w:t>
      </w:r>
    </w:p>
    <w:p>
      <w:pPr>
        <w:jc w:val="left"/>
      </w:pPr>
      <w:r>
        <w:t>I</w:t>
      </w:r>
      <w:r>
        <w:rPr>
          <w:vertAlign w:val="subscript"/>
        </w:rPr>
        <w:t>a</w:t>
      </w:r>
      <w:r>
        <w:t xml:space="preserve"> – ток якоря, А.</w:t>
      </w:r>
    </w:p>
    <w:p>
      <w:r>
        <w:tab/>
      </w:r>
      <w:r>
        <w:t>С ростом нагрузки магнитная система двигателя насыщается и пропорциональность между током I</w:t>
      </w:r>
      <w:r>
        <w:rPr>
          <w:vertAlign w:val="subscript"/>
        </w:rPr>
        <w:t>а</w:t>
      </w:r>
      <w:r>
        <w:t xml:space="preserve"> и магнитным потоком Ф нарушается. При значительном насыщении магнитный поток Ф с ростом I</w:t>
      </w:r>
      <w:r>
        <w:rPr>
          <w:vertAlign w:val="subscript"/>
        </w:rPr>
        <w:t>а</w:t>
      </w:r>
      <w:r>
        <w:t xml:space="preserve"> практически не увеличивается. График зависимости M=f(I</w:t>
      </w:r>
      <w:r>
        <w:rPr>
          <w:vertAlign w:val="subscript"/>
        </w:rPr>
        <w:t>a</w:t>
      </w:r>
      <w:r>
        <w:t xml:space="preserve">) в начальной части (когда магнитная система не насыщена) имеет форму параболы, затем при насыщении отклоняется от параболы и в области больших нагрузок переходит в прямую линию </w:t>
      </w:r>
      <w:r>
        <w:fldChar w:fldCharType="begin"/>
      </w:r>
      <w:r>
        <w:instrText xml:space="preserve"> HYPERLINK "https://engineering-solutions.ru/motorcontrol/brushdcmotor/" \l "3" </w:instrText>
      </w:r>
      <w:r>
        <w:fldChar w:fldCharType="separate"/>
      </w:r>
      <w:r>
        <w:rPr>
          <w:rStyle w:val="28"/>
        </w:rPr>
        <w:t>[</w:t>
      </w:r>
      <w:r>
        <w:rPr>
          <w:rStyle w:val="28"/>
          <w:u w:val="none"/>
        </w:rPr>
        <w:t>3</w:t>
      </w:r>
      <w:r>
        <w:rPr>
          <w:rStyle w:val="28"/>
        </w:rPr>
        <w:t>]</w:t>
      </w:r>
      <w:r>
        <w:rPr>
          <w:rStyle w:val="28"/>
        </w:rPr>
        <w:fldChar w:fldCharType="end"/>
      </w:r>
      <w:r>
        <w:t>.</w:t>
      </w:r>
    </w:p>
    <w:p>
      <w:pPr>
        <w:jc w:val="center"/>
      </w:pPr>
      <w:r>
        <w:drawing>
          <wp:inline distT="0" distB="0" distL="0" distR="0">
            <wp:extent cx="1314450" cy="1143000"/>
            <wp:effectExtent l="0" t="0" r="0" b="0"/>
            <wp:docPr id="17" name="Рисунок 17" descr="Рабочая характеристика двигателя последовательного возбужд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 descr="Рабочая характеристика двигателя последовательного возбуждения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19610" cy="1147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t>Рисунок 7 - Рабочая характеристика двигателя</w:t>
      </w:r>
    </w:p>
    <w:p>
      <w:pPr>
        <w:jc w:val="center"/>
      </w:pPr>
      <w:r>
        <w:t>последовательного возбуждения</w:t>
      </w:r>
    </w:p>
    <w:p>
      <w:pPr>
        <w:jc w:val="center"/>
      </w:pPr>
    </w:p>
    <w:p>
      <w:pPr>
        <w:jc w:val="center"/>
      </w:pPr>
      <w:r>
        <w:drawing>
          <wp:inline distT="0" distB="0" distL="0" distR="0">
            <wp:extent cx="1828800" cy="1590040"/>
            <wp:effectExtent l="0" t="0" r="0" b="0"/>
            <wp:docPr id="16" name="Рисунок 16" descr="Электромеханическая характеристика двигателя последовательного возбужд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Электромеханическая характеристика двигателя последовательного возбуждения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41762" cy="1601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t xml:space="preserve">Рисунок 8 - Электромеханическая характеристика двигателя </w:t>
      </w:r>
    </w:p>
    <w:p>
      <w:pPr>
        <w:jc w:val="center"/>
      </w:pPr>
      <w:r>
        <w:t>последовательного возбуждения</w:t>
      </w:r>
    </w:p>
    <w:p>
      <w:r>
        <w:rPr>
          <w:b/>
          <w:bCs/>
        </w:rPr>
        <w:t>Важно:</w:t>
      </w:r>
      <w:r>
        <w:t xml:space="preserve"> Недопустимо включать двигатели последовательного возбуждения в сеть в режиме холостого хода (без нагрузки на валу) или с нагрузкой менее 25% от номинальной, так как при малых нагрузках частота вращения якоря резко возрастает, достигая значений, при которых возможно механическое разрушение двигателя, поэтому в приводах с двигателями последовательного возбуждения недопустимо применять ременную передачу, при обрыве которой двигатель переходит в режим холостого хода. Исключение составляют двигатели последовательного возбуждения мощностью до 100—200 Вт, которые могут работать в режиме холостого хода, так как их мощность механических и магнитных потерь при больших частотах вращения соизмерима с номинальной мощностью двигателя.</w:t>
      </w:r>
    </w:p>
    <w:p>
      <w:r>
        <w:tab/>
      </w:r>
      <w:r>
        <w:t>Способность двигателей последовательного возбуждения развивать большой электромагнитный момент обеспечивает им хорошие пусковые свойства.</w:t>
      </w:r>
    </w:p>
    <w:p>
      <w:r>
        <w:rPr>
          <w:b/>
          <w:bCs/>
        </w:rPr>
        <w:t>Преимущества:</w:t>
      </w:r>
    </w:p>
    <w:p>
      <w:pPr>
        <w:numPr>
          <w:ilvl w:val="0"/>
          <w:numId w:val="13"/>
        </w:numPr>
        <w:jc w:val="left"/>
      </w:pPr>
      <w:r>
        <w:t>высокий момент на низких оборотах;</w:t>
      </w:r>
    </w:p>
    <w:p>
      <w:pPr>
        <w:numPr>
          <w:ilvl w:val="0"/>
          <w:numId w:val="13"/>
        </w:numPr>
        <w:jc w:val="left"/>
      </w:pPr>
      <w:r>
        <w:t>отсутствие потерь магнетизма со временем.</w:t>
      </w:r>
    </w:p>
    <w:p>
      <w:r>
        <w:rPr>
          <w:b/>
          <w:bCs/>
        </w:rPr>
        <w:t>Недостатки:</w:t>
      </w:r>
    </w:p>
    <w:p>
      <w:pPr>
        <w:numPr>
          <w:ilvl w:val="0"/>
          <w:numId w:val="14"/>
        </w:numPr>
        <w:jc w:val="left"/>
      </w:pPr>
      <w:r>
        <w:t>низкий момент на высоких оборотах;</w:t>
      </w:r>
    </w:p>
    <w:p>
      <w:pPr>
        <w:numPr>
          <w:ilvl w:val="0"/>
          <w:numId w:val="14"/>
        </w:numPr>
        <w:jc w:val="left"/>
      </w:pPr>
      <w:r>
        <w:t xml:space="preserve">дороже </w:t>
      </w:r>
      <w:r>
        <w:fldChar w:fldCharType="begin"/>
      </w:r>
      <w:r>
        <w:instrText xml:space="preserve"> HYPERLINK "https://engineering-solutions.ru/motorcontrol/brushdcmotor/" \l "pmdc" \o "коллекторного двигателя постоянного тока с постоянными магнитами" </w:instrText>
      </w:r>
      <w:r>
        <w:fldChar w:fldCharType="separate"/>
      </w:r>
      <w:r>
        <w:rPr>
          <w:rStyle w:val="28"/>
          <w:color w:val="auto"/>
          <w:u w:val="none"/>
        </w:rPr>
        <w:t>КДПТ ПМ</w:t>
      </w:r>
      <w:r>
        <w:rPr>
          <w:rStyle w:val="28"/>
          <w:color w:val="auto"/>
          <w:u w:val="none"/>
        </w:rPr>
        <w:fldChar w:fldCharType="end"/>
      </w:r>
      <w:r>
        <w:rPr>
          <w:rStyle w:val="28"/>
          <w:color w:val="auto"/>
          <w:u w:val="none"/>
        </w:rPr>
        <w:t>;</w:t>
      </w:r>
    </w:p>
    <w:p>
      <w:pPr>
        <w:numPr>
          <w:ilvl w:val="0"/>
          <w:numId w:val="14"/>
        </w:numPr>
        <w:jc w:val="left"/>
      </w:pPr>
      <w:r>
        <w:t>плохая управляемость скоростью из-за последовательного соединения обмоток якоря и индуктора;</w:t>
      </w:r>
    </w:p>
    <w:p>
      <w:pPr>
        <w:numPr>
          <w:ilvl w:val="0"/>
          <w:numId w:val="14"/>
        </w:numPr>
      </w:pPr>
      <w:r>
        <w:t>двигатель выходит из-под контроля, если ток индуктора падает до нуля.</w:t>
      </w:r>
    </w:p>
    <w:p>
      <w:r>
        <w:tab/>
      </w:r>
      <w:r>
        <w:t xml:space="preserve">Коллекторный двигатель последовательного возбуждения имеет высокий момент на низких оборотах и развивает высокую скорость при отсутствии нагрузки. Данный электромотор идеально подходит для устройств, которым требуется развивать высокий момент (краны и лебедки), так как ток и статора, и ротора увеличивается под нагрузкой. В отличии от </w:t>
      </w:r>
      <w:r>
        <w:fldChar w:fldCharType="begin"/>
      </w:r>
      <w:r>
        <w:instrText xml:space="preserve"> HYPERLINK "https://engineering-solutions.ru/motorcontrol/brushdcmotor/" \l "pmdc" \o "коллекторных электродвигателей постоянного тока с постоянными магнитами" </w:instrText>
      </w:r>
      <w:r>
        <w:fldChar w:fldCharType="separate"/>
      </w:r>
      <w:r>
        <w:rPr>
          <w:rStyle w:val="28"/>
          <w:color w:val="auto"/>
          <w:u w:val="none"/>
        </w:rPr>
        <w:t>КДПТ ПМ</w:t>
      </w:r>
      <w:r>
        <w:rPr>
          <w:rStyle w:val="28"/>
          <w:color w:val="auto"/>
          <w:u w:val="none"/>
        </w:rPr>
        <w:fldChar w:fldCharType="end"/>
      </w:r>
      <w:r>
        <w:t xml:space="preserve"> и двигателей параллельного возбуждения двигатель последовательного возбуждения не имеет точной характеристики контроля скорости, а в случае короткого замыкания обмотки возбуждения он может стать не управляемым.</w:t>
      </w:r>
    </w:p>
    <w:p>
      <w:pPr>
        <w:pStyle w:val="3"/>
      </w:pPr>
      <w:bookmarkStart w:id="22" w:name="_Toc102599175"/>
      <w:r>
        <w:t>1.2.2.5 Двигатель смешанного возбуждения</w:t>
      </w:r>
      <w:bookmarkEnd w:id="22"/>
    </w:p>
    <w:p>
      <w:r>
        <w:tab/>
      </w:r>
      <w:r>
        <w:t xml:space="preserve">Двигатель смешанного возбуждения имеет две обмотки возбуждения, одна из них включена параллельно обмотке якоря, а вторая последовательно. Соотношение между намагничивающими силами обмоток может быть различным, но обычно одна из обмоток создает большую намагничивающую силу, и эта обмотка называется основной, вторая обмотка называется вспомогательной. Обмотки возбуждения могут быть включены согласовано и встречно, и соответственно магнитный поток создается суммой или разностью намагничивающих сил обмоток. Если обмотки включены согласно, то характеристики скорости такого двигателя располагаются между характеристиками скорости двигателей параллельного и последовательного возбуждения. Встречное включение обмоток применяется, когда необходимо получить неизменную скорость вращения или увеличение скорости вращения с увеличением нагрузки. Таким образом, рабочие характеристики двигателя смешанного возбуждения приближаются к характеристикам двигателя параллельного или последовательного возбуждения, смотря по тому, какая из обмоток возбуждения играет главную роль </w:t>
      </w:r>
      <w:r>
        <w:fldChar w:fldCharType="begin"/>
      </w:r>
      <w:r>
        <w:instrText xml:space="preserve"> HYPERLINK "https://engineering-solutions.ru/motorcontrol/brushdcmotor/" \l "4" </w:instrText>
      </w:r>
      <w:r>
        <w:fldChar w:fldCharType="separate"/>
      </w:r>
      <w:r>
        <w:rPr>
          <w:rStyle w:val="28"/>
          <w:color w:val="auto"/>
          <w:u w:val="none"/>
        </w:rPr>
        <w:t>[4]</w:t>
      </w:r>
      <w:r>
        <w:rPr>
          <w:rStyle w:val="28"/>
          <w:color w:val="auto"/>
          <w:u w:val="none"/>
        </w:rPr>
        <w:fldChar w:fldCharType="end"/>
      </w:r>
      <w:r>
        <w:t>.</w:t>
      </w:r>
    </w:p>
    <w:p>
      <w:r>
        <w:rPr>
          <w:b/>
          <w:bCs/>
        </w:rPr>
        <w:t>Преимущества:</w:t>
      </w:r>
    </w:p>
    <w:p>
      <w:pPr>
        <w:numPr>
          <w:ilvl w:val="0"/>
          <w:numId w:val="15"/>
        </w:numPr>
      </w:pPr>
      <w:r>
        <w:t>хорошие регулировочные свойства;</w:t>
      </w:r>
    </w:p>
    <w:p>
      <w:pPr>
        <w:numPr>
          <w:ilvl w:val="0"/>
          <w:numId w:val="15"/>
        </w:numPr>
      </w:pPr>
      <w:r>
        <w:t>высокий момент на низких оборотах;</w:t>
      </w:r>
    </w:p>
    <w:p>
      <w:pPr>
        <w:numPr>
          <w:ilvl w:val="0"/>
          <w:numId w:val="15"/>
        </w:numPr>
      </w:pPr>
      <w:r>
        <w:t>менее вероятен выход из-под контроля;</w:t>
      </w:r>
    </w:p>
    <w:p>
      <w:pPr>
        <w:numPr>
          <w:ilvl w:val="0"/>
          <w:numId w:val="15"/>
        </w:numPr>
      </w:pPr>
      <w:r>
        <w:t>отсутствие потерь магнетизма со временем.</w:t>
      </w:r>
    </w:p>
    <w:p>
      <w:r>
        <w:rPr>
          <w:b/>
          <w:bCs/>
        </w:rPr>
        <w:t>Недостатки:</w:t>
      </w:r>
    </w:p>
    <w:p>
      <w:pPr>
        <w:numPr>
          <w:ilvl w:val="0"/>
          <w:numId w:val="16"/>
        </w:numPr>
      </w:pPr>
      <w:r>
        <w:t>дороже других коллекторных двигателей.</w:t>
      </w:r>
    </w:p>
    <w:p>
      <w:r>
        <w:tab/>
      </w:r>
      <w:r>
        <w:t>Двигатель смешанного возбуждения имеет эксплуатационные характеристики двигателей с параллельным и последовательным возбуждением. Он имеет высокий момент на низких оборотах, так же как двигатель последовательного возбуждения и хороший контроль скорости, как двигатель параллельного возбуждения. Двигатель смешанного возбуждения идеально подходит для устройств автомобилей и промышленности (таких как генераторы). Выход двигателя смешанного возбуждения из-под контроля менее вероятен, так как для этого ток параллельной обмотки возбуждения должен уменьшиться до нуля, а последовательная обмотка возбуждения должна быть закорочена.</w:t>
      </w:r>
    </w:p>
    <w:p>
      <w:pPr>
        <w:pStyle w:val="3"/>
      </w:pPr>
      <w:bookmarkStart w:id="23" w:name="_Toc102599176"/>
      <w:r>
        <w:t>1.2.3 Характеристики коллекторного электродвигателя постоянного тока</w:t>
      </w:r>
      <w:bookmarkEnd w:id="23"/>
    </w:p>
    <w:p>
      <w:r>
        <w:tab/>
      </w:r>
      <w:r>
        <w:t xml:space="preserve">Эксплуатационные свойства двигателей постоянного тока определяются их рабочими, электромеханическими и </w:t>
      </w:r>
      <w:r>
        <w:fldChar w:fldCharType="begin"/>
      </w:r>
      <w:r>
        <w:instrText xml:space="preserve"> HYPERLINK "https://engineering-solutions.ru/motorcontrol/motor/" \l "torque_speed_curve" </w:instrText>
      </w:r>
      <w:r>
        <w:fldChar w:fldCharType="separate"/>
      </w:r>
      <w:r>
        <w:rPr>
          <w:rStyle w:val="28"/>
          <w:color w:val="auto"/>
          <w:u w:val="none"/>
        </w:rPr>
        <w:t>механическими характеристиками</w:t>
      </w:r>
      <w:r>
        <w:rPr>
          <w:rStyle w:val="28"/>
          <w:color w:val="auto"/>
          <w:u w:val="none"/>
        </w:rPr>
        <w:fldChar w:fldCharType="end"/>
      </w:r>
      <w:r>
        <w:t>, а также регулировочными свойствами.</w:t>
      </w:r>
    </w:p>
    <w:p>
      <w:pPr>
        <w:jc w:val="center"/>
      </w:pPr>
      <w:r>
        <w:drawing>
          <wp:inline distT="0" distB="0" distL="0" distR="0">
            <wp:extent cx="4175760" cy="1905000"/>
            <wp:effectExtent l="0" t="0" r="0" b="0"/>
            <wp:docPr id="15" name="Рисунок 15" descr="Механические характеристики коллекторных электродвигателей постоянного то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Механические характеристики коллекторных электродвигателей постоянного тока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04890" cy="191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t xml:space="preserve">Рисунок 9 - Механические характеристики коллекторных </w:t>
      </w:r>
    </w:p>
    <w:p>
      <w:pPr>
        <w:jc w:val="center"/>
      </w:pPr>
      <w:r>
        <w:t>двигателей постоянного тока</w:t>
      </w:r>
    </w:p>
    <w:p>
      <w:pPr>
        <w:pStyle w:val="3"/>
      </w:pPr>
      <w:bookmarkStart w:id="24" w:name="_Toc102599177"/>
      <w:r>
        <w:t>1.2.4 Основные параметры электродвигателя постоянного тока. Постоянная момента</w:t>
      </w:r>
      <w:bookmarkEnd w:id="24"/>
    </w:p>
    <w:p>
      <w:r>
        <w:tab/>
      </w:r>
      <w:r>
        <w:t xml:space="preserve">Для коллекторного электродвигателя постоянного тока </w:t>
      </w:r>
      <w:r>
        <w:fldChar w:fldCharType="begin"/>
      </w:r>
      <w:r>
        <w:instrText xml:space="preserve"> HYPERLINK "https://engineering-solutions.ru/motorcontrol/dcmotor/" \l "torque_constant" </w:instrText>
      </w:r>
      <w:r>
        <w:fldChar w:fldCharType="separate"/>
      </w:r>
      <w:r>
        <w:rPr>
          <w:rStyle w:val="28"/>
          <w:color w:val="auto"/>
          <w:u w:val="none"/>
        </w:rPr>
        <w:t>постоянная момента</w:t>
      </w:r>
      <w:r>
        <w:rPr>
          <w:rStyle w:val="28"/>
          <w:color w:val="auto"/>
          <w:u w:val="none"/>
        </w:rPr>
        <w:fldChar w:fldCharType="end"/>
      </w:r>
      <w:r>
        <w:t xml:space="preserve"> определяется по формуле:</w:t>
      </w:r>
    </w:p>
    <w:p>
      <w:pPr>
        <w:jc w:val="center"/>
      </w:pPr>
      <w:r>
        <w:drawing>
          <wp:inline distT="0" distB="0" distL="0" distR="0">
            <wp:extent cx="1028700" cy="527050"/>
            <wp:effectExtent l="0" t="0" r="0" b="6350"/>
            <wp:docPr id="13" name="Рисунок 13" descr="https://engineering-solutions.ru/files/images/motor/knowledge/m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https://engineering-solutions.ru/files/images/motor/knowledge/m22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52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,</w:t>
      </w:r>
    </w:p>
    <w:p>
      <w:r>
        <w:t xml:space="preserve">где </w:t>
      </w:r>
    </w:p>
    <w:p>
      <w:r>
        <w:t>Z - суммарное число проводников,</w:t>
      </w:r>
    </w:p>
    <w:p>
      <w:pPr>
        <w:rPr>
          <w:rStyle w:val="28"/>
          <w:color w:val="auto"/>
          <w:u w:val="none"/>
        </w:rPr>
      </w:pPr>
      <w:r>
        <w:t xml:space="preserve">Ф – магнитный поток, Вб </w:t>
      </w:r>
      <w:r>
        <w:fldChar w:fldCharType="begin"/>
      </w:r>
      <w:r>
        <w:instrText xml:space="preserve"> HYPERLINK "https://engineering-solutions.ru/motorcontrol/brushdcmotor/" \l "1" </w:instrText>
      </w:r>
      <w:r>
        <w:fldChar w:fldCharType="separate"/>
      </w:r>
      <w:r>
        <w:rPr>
          <w:rStyle w:val="28"/>
          <w:color w:val="auto"/>
          <w:u w:val="none"/>
        </w:rPr>
        <w:t>[1]</w:t>
      </w:r>
      <w:r>
        <w:rPr>
          <w:rStyle w:val="28"/>
          <w:color w:val="auto"/>
          <w:u w:val="none"/>
        </w:rPr>
        <w:fldChar w:fldCharType="end"/>
      </w:r>
    </w:p>
    <w:p>
      <w:pPr>
        <w:pStyle w:val="3"/>
      </w:pPr>
      <w:bookmarkStart w:id="25" w:name="_Toc102599178"/>
      <w:r>
        <w:t>1.2.5 Датчики Холла для контроля частоты вращения коллекторных электродвигателей</w:t>
      </w:r>
      <w:bookmarkEnd w:id="25"/>
    </w:p>
    <w:p>
      <w:pPr>
        <w:rPr>
          <w:b/>
          <w:i/>
        </w:rPr>
      </w:pPr>
      <w:r>
        <w:rPr>
          <w:b/>
          <w:i/>
        </w:rPr>
        <w:t>Принцип действия датчика Холла</w:t>
      </w:r>
    </w:p>
    <w:p>
      <w:r>
        <w:tab/>
      </w:r>
      <w:r>
        <w:t>Интегральные датчики магнитного поля в своём большинстве используют эффект Холла, открытый американским физиком Эдвином Холлом (E. Hall) в 1879 г. Эффект Холла состоит в следующем рис.10 [7].</w:t>
      </w:r>
    </w:p>
    <w:p>
      <w:pPr>
        <w:jc w:val="center"/>
      </w:pPr>
      <w:r>
        <w:drawing>
          <wp:inline distT="0" distB="0" distL="0" distR="0">
            <wp:extent cx="2888615" cy="156591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07976" cy="15766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jc w:val="center"/>
      </w:pPr>
      <w:r>
        <w:t>Рисунок 10 – Иллюстрация эффекта Холла</w:t>
      </w:r>
    </w:p>
    <w:p>
      <w:r>
        <w:t xml:space="preserve"> </w:t>
      </w:r>
      <w:r>
        <w:tab/>
      </w:r>
      <w:r>
        <w:t xml:space="preserve">Если проводник с током помещён в магнитное поле, то возникает э.д.с., направленная перпендикулярно и току, и полю. Эффект Холла иллюстрируется на рис.10. По тонкой пластине полупроводникового материала протекает ток </w:t>
      </w:r>
      <w:r>
        <w:rPr>
          <w:b/>
          <w:bCs/>
          <w:i/>
          <w:iCs/>
        </w:rPr>
        <w:t>I</w:t>
      </w:r>
      <w:r>
        <w:t xml:space="preserve">. При наличии магнитного поля на движущиеся носители заряда (электроны) действует сила Лоренца. Эта сила искривляет траекторию движения электронов, что приводит к перераспределению объёмных зарядов в полупроводниковой пластине. Вследствие этого на краях пластины, параллельных направлению протекания тока, возникает э.д.с., называемая э.д.с. Холла. Эта э.д.с. пропорциональна векторному произведению индукции </w:t>
      </w:r>
      <w:r>
        <w:rPr>
          <w:b/>
          <w:bCs/>
          <w:i/>
          <w:iCs/>
        </w:rPr>
        <w:t>B</w:t>
      </w:r>
      <w:r>
        <w:t xml:space="preserve"> на плотность тока </w:t>
      </w:r>
      <w:r>
        <w:rPr>
          <w:b/>
          <w:bCs/>
          <w:i/>
          <w:iCs/>
        </w:rPr>
        <w:t>j</w:t>
      </w:r>
      <w:r>
        <w:t>:</w:t>
      </w:r>
    </w:p>
    <w:p>
      <w:pPr>
        <w:jc w:val="center"/>
      </w:pPr>
      <w:r>
        <w:drawing>
          <wp:inline distT="0" distB="0" distL="0" distR="0">
            <wp:extent cx="713105" cy="330200"/>
            <wp:effectExtent l="0" t="0" r="0" b="0"/>
            <wp:docPr id="8" name="Рисунок 8" descr="https://gearmotor.ru/publics_img/hall-frml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 descr="https://gearmotor.ru/publics_img/hall-frml1.gif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7866" cy="33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t xml:space="preserve">где </w:t>
      </w:r>
      <w:r>
        <w:rPr>
          <w:b/>
          <w:bCs/>
          <w:i/>
          <w:iCs/>
        </w:rPr>
        <w:t xml:space="preserve">d </w:t>
      </w:r>
      <w:r>
        <w:t xml:space="preserve">– ширина пластины, </w:t>
      </w:r>
      <w:r>
        <w:rPr>
          <w:b/>
          <w:bCs/>
          <w:i/>
          <w:iCs/>
        </w:rPr>
        <w:t>q</w:t>
      </w:r>
      <w:r>
        <w:t xml:space="preserve"> – заряд частицы-носителя, </w:t>
      </w:r>
      <w:r>
        <w:rPr>
          <w:b/>
          <w:bCs/>
          <w:i/>
          <w:iCs/>
        </w:rPr>
        <w:t>n</w:t>
      </w:r>
      <w:r>
        <w:t xml:space="preserve"> – концентрация носителей. При снижении концентрации носителей э.д.с. Холла возрастает, поэтому в качестве материала для датчиков Холла предпочтительно использование таких полупроводников, как кремний, арсенид галлия и др. Для прямоугольной пластины с однородными током и магнитным полем, направленными, как показано на рис.10, эта э.д.с. равна</w:t>
      </w:r>
    </w:p>
    <w:p>
      <w:pPr>
        <w:jc w:val="center"/>
      </w:pPr>
      <w:r>
        <w:drawing>
          <wp:inline distT="0" distB="0" distL="0" distR="0">
            <wp:extent cx="685800" cy="190500"/>
            <wp:effectExtent l="0" t="0" r="0" b="0"/>
            <wp:docPr id="10" name="Рисунок 10" descr="https://gearmotor.ru/publics_img/hall-frml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https://gearmotor.ru/publics_img/hall-frml2.gif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t xml:space="preserve">где </w:t>
      </w:r>
      <w:r>
        <w:rPr>
          <w:b/>
          <w:bCs/>
          <w:i/>
          <w:iCs/>
        </w:rPr>
        <w:t>k</w:t>
      </w:r>
      <w:r>
        <w:rPr>
          <w:b/>
          <w:bCs/>
          <w:i/>
          <w:iCs/>
          <w:vertAlign w:val="subscript"/>
        </w:rPr>
        <w:t>н</w:t>
      </w:r>
      <w:r>
        <w:t xml:space="preserve"> – постоянная Холла, </w:t>
      </w:r>
      <w:r>
        <w:rPr>
          <w:b/>
          <w:bCs/>
          <w:i/>
          <w:iCs/>
        </w:rPr>
        <w:t>V</w:t>
      </w:r>
      <w:r>
        <w:rPr>
          <w:b/>
          <w:bCs/>
          <w:i/>
          <w:iCs/>
          <w:vertAlign w:val="subscript"/>
        </w:rPr>
        <w:t>S</w:t>
      </w:r>
      <w:r>
        <w:t xml:space="preserve"> – напряжение, создаваемое на токоподводящих выводах датчика Холла. Для кремния </w:t>
      </w:r>
      <w:r>
        <w:rPr>
          <w:b/>
          <w:bCs/>
          <w:i/>
          <w:iCs/>
        </w:rPr>
        <w:t>k</w:t>
      </w:r>
      <w:r>
        <w:rPr>
          <w:b/>
          <w:bCs/>
          <w:i/>
          <w:iCs/>
          <w:vertAlign w:val="subscript"/>
        </w:rPr>
        <w:t>н</w:t>
      </w:r>
      <w:r>
        <w:t xml:space="preserve"> составляет величину порядка 70 мВ/(В*Тл), поэтому, как правило, э.д.с. датчика Холла требуется усиливать. Кремний обладает тензорезистивным эффектом, заключающимся в изменении сопротивления при механических напряжениях. Желательно уменьшить это влияние в датчике Холла. Это достигается соответствующей ориентацией элемента Холла на интегральной схеме и использованием нескольких элементов на кристалле. </w:t>
      </w:r>
    </w:p>
    <w:p>
      <w:r>
        <w:t xml:space="preserve">тока </w:t>
      </w:r>
      <w:r>
        <w:rPr>
          <w:b/>
          <w:bCs/>
          <w:i/>
          <w:iCs/>
        </w:rPr>
        <w:t>j</w:t>
      </w:r>
      <w:r>
        <w:t>:</w:t>
      </w:r>
    </w:p>
    <w:p>
      <w:pPr>
        <w:jc w:val="center"/>
      </w:pPr>
      <w:r>
        <w:drawing>
          <wp:inline distT="0" distB="0" distL="0" distR="0">
            <wp:extent cx="768350" cy="355600"/>
            <wp:effectExtent l="0" t="0" r="0" b="6350"/>
            <wp:docPr id="9" name="Рисунок 9" descr="https://gearmotor.ru/publics_img/hall-frml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 descr="https://gearmotor.ru/publics_img/hall-frml1.gif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16674" cy="37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0" distR="0">
            <wp:extent cx="3626485" cy="16383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34672" cy="16419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jc w:val="center"/>
      </w:pPr>
      <w:r>
        <w:t>Рис.11 Расположение двух элементов Холла на ИМС, компенсирующее ошибку, вызванную механической деформацией кристалла</w:t>
      </w:r>
    </w:p>
    <w:p>
      <w:r>
        <w:tab/>
      </w:r>
      <w:r>
        <w:t xml:space="preserve">На рис.11 показаны два элемента Холла, расположенные рядом на кристалле ИМС. Они позиционированы так, что испытывают практически одинаковое механическое напряжение, вызывающее изменение </w:t>
      </w:r>
      <w:r>
        <w:rPr>
          <w:b/>
          <w:bCs/>
          <w:i/>
          <w:iCs/>
        </w:rPr>
        <w:t>R</w:t>
      </w:r>
      <w:r>
        <w:t xml:space="preserve">. К элементу, который на рисунке изображён слева, приложено напряжение возбуждения </w:t>
      </w:r>
      <w:r>
        <w:rPr>
          <w:b/>
          <w:bCs/>
          <w:i/>
          <w:iCs/>
        </w:rPr>
        <w:t>V</w:t>
      </w:r>
      <w:r>
        <w:rPr>
          <w:b/>
          <w:bCs/>
          <w:i/>
          <w:iCs/>
          <w:vertAlign w:val="subscript"/>
        </w:rPr>
        <w:t>S</w:t>
      </w:r>
      <w:r>
        <w:t>, направленное по вертикальной оси, а к изображённому справа – по горизонтальной. При сложении сигналов этих двух датчиков ошибка, вызванная деформацией кристалла, компенсируется.</w:t>
      </w:r>
    </w:p>
    <w:p>
      <w:r>
        <w:tab/>
      </w:r>
      <w:r>
        <w:t xml:space="preserve">Датчики Холла являются основой многих типов датчиков, таких как датчики линейного или углового перемещения, датчики магнитного поля, датчики тока, датчики расхода и др. Удобство бесконтактного срабатывания (полное отсутствие механического износа), низкая стоимость, простота использования делают их незаменимыми в приборостроении, автомобильной, авиационной и других отраслях промышленности. Интегральные датчики Холла производят такие фирмы, как Honeywell, Melexis, Allegro Microsystems, Micronas Intermetall, Siemens, Analog Devices и др. </w:t>
      </w:r>
    </w:p>
    <w:p>
      <w:r>
        <w:tab/>
      </w:r>
      <w:r>
        <w:t xml:space="preserve">Первая группа интегральных датчиков Холла - это линейные устройства, применяющиеся в измерителях напряжённости магнитного поля. Как правило, эти устройства содержат схемы усиления сигнала датчика. Необходимая предварительная обработка сигнала обычно заключается в усилении и температурной компенсации. Может понадобиться также стабилизация питающего напряжения. При отсутствии магнитного поля выходное напряжение датчика должно быть равно нулю, поэтому требуется дифференциальный усилитель (рис.12). </w:t>
      </w:r>
    </w:p>
    <w:p>
      <w:pPr>
        <w:jc w:val="center"/>
      </w:pPr>
      <w:r>
        <w:drawing>
          <wp:inline distT="0" distB="0" distL="0" distR="0">
            <wp:extent cx="3229610" cy="3327400"/>
            <wp:effectExtent l="0" t="0" r="8890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51494" cy="33497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t>Рисунок 12 Схема ИМС линейного датчика Холла (а)</w:t>
      </w:r>
    </w:p>
    <w:p>
      <w:pPr>
        <w:jc w:val="center"/>
      </w:pPr>
      <w:r>
        <w:t>и график его характеристики преобразования (б)</w:t>
      </w:r>
    </w:p>
    <w:p>
      <w:r>
        <w:tab/>
      </w:r>
      <w:r>
        <w:t>Современные технологии позволяют ввести в состав ИМС датчиков магнитного поля сложные цифровые системы обработки информации. Примером такой ИМС может служить HAL805 фирмы Micronas Intermetall, содержащий на кристалле в трёхвыводном корпусе ТО92 АЦП, ЦАП, ЦПС и энергонезависимую память.</w:t>
      </w:r>
    </w:p>
    <w:p>
      <w:r>
        <w:tab/>
      </w:r>
      <w:r>
        <w:t>Такая структура позволяет программировать чувствительность и смещение датчика, осуществлять фильтрацию помех и механических возмущений. Вторая группа включает в себя микросхемы компараторного типа с логическими уровнями напряжения на выходе. Эта группа более многочисленна в силу большего числа возможных применений. Микросхемы с логическим выходом (рис.13а) делятся на две подгруппы: переключатели и триггеры.</w:t>
      </w:r>
    </w:p>
    <w:p>
      <w:pPr>
        <w:jc w:val="center"/>
      </w:pPr>
      <w:r>
        <w:drawing>
          <wp:inline distT="0" distB="0" distL="0" distR="0">
            <wp:extent cx="2646045" cy="4725035"/>
            <wp:effectExtent l="0" t="0" r="190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6045" cy="4725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jc w:val="center"/>
      </w:pPr>
      <w:r>
        <w:t>Рисунок 13 – Логический датчик Холла</w:t>
      </w:r>
    </w:p>
    <w:p>
      <w:r>
        <w:tab/>
      </w:r>
      <w:r>
        <w:t>Униполярный переключатель срабатывает только при наличии магнитного поля одной полярности и гарантирует выключенное состояние в отсутствие магнитного поля; магнитное поле противоположной полярности не оказывает на него никакого влияния (см. рис.13б). Биполярный триггер, напротив, реагирует на обе полярности: включается при приближении северного или южного полюсов магнита и выключается только в том случае, если поле с противоположным знаком достигнет определенного уровня. Термин «биполярный переключатель» обычно применяется к триггерам, реагирующим на пропадание поля. Такие переключатели переходят во включённое состояние при наличии магнитного поля, а выключаются при снижении уровня той же полярности, отсутствии поля, или в присутствии поля с противоположным знаком (см. рис.13в). Наличие ступени гистерезиса, которая является разностью между величинами магнитного поля в точках включения и выключения, повышает помехозащищенность устройства. Логический двухвыводной датчик Холла HAL556 производит фирма Micronas Intermetall. Эта микросхема (рис.14) потребляет большой ток при приближении положительного полюса магнита к маркированной стороне корпуса и малый ток при удалении. HAL566 реализует обратные функции. Микросхемы имеют встроенную систему, увеличивающую напряжение, приложенное непосредственно к кристаллу датчика Холла, с тем чтобы сделать возможным применение недорогих постоянных магнитов, имеющих сравнительно малую коэрцитивную силу.</w:t>
      </w:r>
    </w:p>
    <w:p>
      <w:pPr>
        <w:shd w:val="clear" w:color="auto" w:fill="FFFFFF"/>
        <w:suppressAutoHyphens w:val="0"/>
        <w:jc w:val="center"/>
      </w:pPr>
      <w:r>
        <w:rPr>
          <w:rFonts w:ascii="Verdana" w:hAnsi="Verdana"/>
          <w:color w:val="000000"/>
          <w:sz w:val="21"/>
          <w:szCs w:val="21"/>
        </w:rPr>
        <w:drawing>
          <wp:inline distT="0" distB="0" distL="0" distR="0">
            <wp:extent cx="4800600" cy="2888615"/>
            <wp:effectExtent l="0" t="0" r="0" b="0"/>
            <wp:docPr id="4" name="Рисунок 4" descr="https://gearmotor.ru/publics_img/hall-fig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https://gearmotor.ru/publics_img/hall-fig5.gif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16112" cy="289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1"/>
          <w:szCs w:val="21"/>
        </w:rPr>
        <w:br w:type="textWrapping"/>
      </w:r>
      <w:r>
        <w:t xml:space="preserve">Рисунок 14 – Двухвыводной логический датчик </w:t>
      </w:r>
      <w:r>
        <w:rPr>
          <w:lang w:val="en-US"/>
        </w:rPr>
        <w:t>HAL</w:t>
      </w:r>
      <w:r>
        <w:t>556 обеспечивает</w:t>
      </w:r>
    </w:p>
    <w:p>
      <w:pPr>
        <w:jc w:val="center"/>
      </w:pPr>
      <w:r>
        <w:t>изменение протекающего через него тока при изменении уровня магнитного поля</w:t>
      </w:r>
    </w:p>
    <w:p>
      <w:pPr>
        <w:rPr>
          <w:b/>
          <w:i/>
        </w:rPr>
      </w:pPr>
      <w:r>
        <w:rPr>
          <w:b/>
          <w:i/>
        </w:rPr>
        <w:t>Применение датчиков Холла</w:t>
      </w:r>
    </w:p>
    <w:p>
      <w:r>
        <w:tab/>
      </w:r>
      <w:r>
        <w:t>Ниже рассматриваются некоторые наиболее популярные применения интегральных датчиков Холла. Технические задачи, для решения которых наиболее часто используются эти датчики, описываются в книге [9].</w:t>
      </w:r>
    </w:p>
    <w:p>
      <w:pPr>
        <w:numPr>
          <w:ilvl w:val="0"/>
          <w:numId w:val="17"/>
        </w:numPr>
        <w:shd w:val="clear" w:color="auto" w:fill="FFFFFF"/>
        <w:suppressAutoHyphens w:val="0"/>
        <w:spacing w:line="240" w:lineRule="auto"/>
        <w:jc w:val="left"/>
        <w:rPr>
          <w:color w:val="000000"/>
        </w:rPr>
      </w:pPr>
      <w:r>
        <w:rPr>
          <w:b/>
          <w:bCs/>
          <w:color w:val="000000"/>
        </w:rPr>
        <w:t>Линейные датчики Холла:</w:t>
      </w:r>
    </w:p>
    <w:p>
      <w:pPr>
        <w:numPr>
          <w:ilvl w:val="0"/>
          <w:numId w:val="17"/>
        </w:numPr>
        <w:shd w:val="clear" w:color="auto" w:fill="FFFFFF"/>
        <w:suppressAutoHyphens w:val="0"/>
        <w:spacing w:line="240" w:lineRule="auto"/>
        <w:jc w:val="left"/>
        <w:rPr>
          <w:color w:val="010101"/>
        </w:rPr>
      </w:pPr>
      <w:r>
        <w:rPr>
          <w:color w:val="010101"/>
        </w:rPr>
        <w:t>приводы переменной частоты вращения;</w:t>
      </w:r>
    </w:p>
    <w:p>
      <w:pPr>
        <w:numPr>
          <w:ilvl w:val="0"/>
          <w:numId w:val="17"/>
        </w:numPr>
        <w:shd w:val="clear" w:color="auto" w:fill="FFFFFF"/>
        <w:suppressAutoHyphens w:val="0"/>
        <w:spacing w:line="240" w:lineRule="auto"/>
        <w:jc w:val="left"/>
        <w:rPr>
          <w:color w:val="010101"/>
        </w:rPr>
      </w:pPr>
      <w:r>
        <w:rPr>
          <w:color w:val="010101"/>
        </w:rPr>
        <w:t>схемы управления и защиты электродвигателей;</w:t>
      </w:r>
    </w:p>
    <w:p>
      <w:pPr>
        <w:numPr>
          <w:ilvl w:val="0"/>
          <w:numId w:val="17"/>
        </w:numPr>
        <w:shd w:val="clear" w:color="auto" w:fill="FFFFFF"/>
        <w:suppressAutoHyphens w:val="0"/>
        <w:spacing w:line="240" w:lineRule="auto"/>
        <w:jc w:val="left"/>
        <w:rPr>
          <w:color w:val="000000"/>
        </w:rPr>
      </w:pPr>
      <w:r>
        <w:rPr>
          <w:b/>
          <w:bCs/>
          <w:color w:val="000000"/>
        </w:rPr>
        <w:t>Логические датчики Холла:</w:t>
      </w:r>
    </w:p>
    <w:p>
      <w:pPr>
        <w:numPr>
          <w:ilvl w:val="0"/>
          <w:numId w:val="17"/>
        </w:numPr>
        <w:shd w:val="clear" w:color="auto" w:fill="FFFFFF"/>
        <w:suppressAutoHyphens w:val="0"/>
        <w:spacing w:line="240" w:lineRule="auto"/>
        <w:jc w:val="left"/>
        <w:rPr>
          <w:color w:val="010101"/>
        </w:rPr>
      </w:pPr>
      <w:r>
        <w:rPr>
          <w:color w:val="010101"/>
        </w:rPr>
        <w:t>датчики частоты вращения;</w:t>
      </w:r>
    </w:p>
    <w:p>
      <w:pPr>
        <w:numPr>
          <w:ilvl w:val="0"/>
          <w:numId w:val="17"/>
        </w:numPr>
        <w:shd w:val="clear" w:color="auto" w:fill="FFFFFF"/>
        <w:suppressAutoHyphens w:val="0"/>
        <w:spacing w:line="240" w:lineRule="auto"/>
        <w:jc w:val="left"/>
        <w:rPr>
          <w:color w:val="010101"/>
        </w:rPr>
      </w:pPr>
      <w:r>
        <w:rPr>
          <w:color w:val="010101"/>
        </w:rPr>
        <w:t>устройства синхронизации;</w:t>
      </w:r>
    </w:p>
    <w:p>
      <w:pPr>
        <w:numPr>
          <w:ilvl w:val="0"/>
          <w:numId w:val="17"/>
        </w:numPr>
        <w:shd w:val="clear" w:color="auto" w:fill="FFFFFF"/>
        <w:suppressAutoHyphens w:val="0"/>
        <w:jc w:val="left"/>
        <w:rPr>
          <w:color w:val="010101"/>
        </w:rPr>
      </w:pPr>
      <w:r>
        <w:rPr>
          <w:color w:val="010101"/>
        </w:rPr>
        <w:t>бесколлекторные двигатели постоянного тока;</w:t>
      </w:r>
    </w:p>
    <w:p>
      <w:pPr>
        <w:pStyle w:val="3"/>
      </w:pPr>
      <w:bookmarkStart w:id="26" w:name="_Toc102599179"/>
      <w:r>
        <w:t>1.2.6 Основы регулирования и стабилизации частоты вращения коллекторных электродвигателей на основе широтно-импульсной модуляции</w:t>
      </w:r>
      <w:bookmarkEnd w:id="26"/>
    </w:p>
    <w:p>
      <w:r>
        <w:tab/>
      </w:r>
      <w:r>
        <w:t>Наиболее простой метод регулирования скорости вращения двигателя постоянного тока основан на использовании широтно-импульсной модуляции (ШИМ или PWM) [10]. Суть этого метода заключается в том, что напряжение питания подается на двигатель в виде импульсов. При этом частота следования импульсов остается постоянной, а их длительность может меняться.</w:t>
      </w:r>
    </w:p>
    <w:p>
      <w:r>
        <w:tab/>
      </w:r>
      <w:r>
        <w:t>ШИМ сигнал характеризуется таким параметром как коэффициент заполнения или Duty cycle. Это величина обратная скважности и равна отношению длительности импульса к его периоду.</w:t>
      </w:r>
    </w:p>
    <w:p>
      <w:pPr>
        <w:jc w:val="center"/>
      </w:pPr>
      <w:r>
        <w:rPr>
          <w:i/>
        </w:rPr>
        <w:t>D = (t/T) * 100%</w:t>
      </w:r>
      <w:r>
        <w:rPr>
          <w:i/>
        </w:rPr>
        <w:tab/>
      </w:r>
      <w:r>
        <w:tab/>
      </w:r>
      <w:r>
        <w:tab/>
      </w:r>
      <w:r>
        <w:tab/>
      </w:r>
      <w:r>
        <w:t>(1)</w:t>
      </w:r>
    </w:p>
    <w:p>
      <w:r>
        <w:tab/>
      </w:r>
      <w:r>
        <w:t>На рис.15 изображены примеры ШИМ сигналов с различными коэффициентами заполнения.</w:t>
      </w:r>
    </w:p>
    <w:p>
      <w:pPr>
        <w:shd w:val="clear" w:color="auto" w:fill="FFFFFF"/>
        <w:suppressAutoHyphens w:val="0"/>
        <w:spacing w:after="135" w:line="240" w:lineRule="auto"/>
        <w:jc w:val="center"/>
        <w:rPr>
          <w:rFonts w:ascii="Helvetica" w:hAnsi="Helvetica" w:cs="Helvetica"/>
          <w:color w:val="333333"/>
          <w:sz w:val="20"/>
          <w:szCs w:val="20"/>
        </w:rPr>
      </w:pPr>
      <w:r>
        <w:rPr>
          <w:rFonts w:ascii="Helvetica" w:hAnsi="Helvetica" w:cs="Helvetica"/>
          <w:color w:val="333333"/>
          <w:sz w:val="20"/>
          <w:szCs w:val="20"/>
        </w:rPr>
        <w:drawing>
          <wp:inline distT="0" distB="0" distL="0" distR="0">
            <wp:extent cx="3314065" cy="2155190"/>
            <wp:effectExtent l="0" t="0" r="635" b="0"/>
            <wp:docPr id="12" name="Рисунок 12" descr="duty cyc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 descr="duty cycle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14065" cy="215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t>Рисунок 15 - ШИМ сигналы с различными коэффициентами заполнения</w:t>
      </w:r>
    </w:p>
    <w:p>
      <w:r>
        <w:tab/>
      </w:r>
      <w:r>
        <w:t xml:space="preserve">При таком методе управления скорость вращения двигателя будет пропорциональна коэффициенту заполнения ШИМ сигнала. </w:t>
      </w:r>
    </w:p>
    <w:p>
      <w:r>
        <w:tab/>
      </w:r>
      <w:r>
        <w:t>Система стабилизации скорости вращения двигателя постоянного тока – система, в которой скорость вращения двигателя зависит от величины напряжения на якоре двигателя, соответственно пропорциональна коэффициенту заполнения ШИМ сигнала.</w:t>
      </w:r>
    </w:p>
    <w:p>
      <w:r>
        <w:tab/>
      </w:r>
      <w:r>
        <w:t>Данная система может рассматриваться как объект регулирования скорости вращения двигателя.</w:t>
      </w:r>
    </w:p>
    <w:p>
      <w:r>
        <w:tab/>
      </w:r>
      <w:r>
        <w:t>Система состоит из двигателя постоянного тока, тахогенератора (на основе датчика Холла) и двух управляемых преобразователей. Тахогенератор выполняет функцию регулирующего органа.</w:t>
      </w:r>
    </w:p>
    <w:p>
      <w:r>
        <w:tab/>
      </w:r>
      <w:r>
        <w:t>В зависимости от скорости вращения двигателя, тахогенератор генерирует напряжение (пропорциональное коэффициенту заполнения ШИМ сигнала), которое сравнивается с входным напряжением. Разность входного напряжения и напряжения с тахогенератора поступает на регулятор, который регулирует напряжение на якоре двигателя, а соответственно и скорость вращения двигателя.</w:t>
      </w:r>
    </w:p>
    <w:p>
      <w:pPr>
        <w:pStyle w:val="3"/>
        <w:numPr>
          <w:ilvl w:val="1"/>
          <w:numId w:val="7"/>
        </w:numPr>
      </w:pPr>
      <w:bookmarkStart w:id="27" w:name="_Toc82713040"/>
      <w:bookmarkStart w:id="28" w:name="_Toc102599180"/>
      <w:bookmarkStart w:id="29" w:name="_Toc70671184"/>
      <w:r>
        <w:t>Выбор и обоснование технического решения</w:t>
      </w:r>
      <w:bookmarkEnd w:id="27"/>
      <w:bookmarkEnd w:id="28"/>
      <w:bookmarkEnd w:id="29"/>
    </w:p>
    <w:p>
      <w:pPr>
        <w:pStyle w:val="3"/>
      </w:pPr>
      <w:bookmarkStart w:id="30" w:name="_Toc102599181"/>
      <w:r>
        <w:t>1.3.1 Структурная схема</w:t>
      </w:r>
      <w:bookmarkEnd w:id="30"/>
    </w:p>
    <w:p>
      <w:pPr>
        <w:pStyle w:val="55"/>
      </w:pPr>
      <w:r>
        <w:t>На основании проанализированных выше составляющих элементов устройства спроектирована следующая электрическая структурная схема, определяющая основные функциональные части устройства, их назначения и взаимосвязи.</w:t>
      </w:r>
    </w:p>
    <w:p>
      <w:pPr>
        <w:ind w:firstLine="567"/>
        <w:jc w:val="center"/>
        <w:rPr>
          <w:szCs w:val="28"/>
        </w:rPr>
      </w:pPr>
      <w:r>
        <w:rPr>
          <w:szCs w:val="28"/>
        </w:rPr>
        <w:drawing>
          <wp:inline distT="0" distB="0" distL="0" distR="0">
            <wp:extent cx="4705350" cy="1092835"/>
            <wp:effectExtent l="0" t="0" r="0" b="0"/>
            <wp:docPr id="1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4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rcRect l="20171"/>
                    <a:stretch>
                      <a:fillRect/>
                    </a:stretch>
                  </pic:blipFill>
                  <pic:spPr>
                    <a:xfrm>
                      <a:off x="0" y="0"/>
                      <a:ext cx="4749797" cy="1103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5"/>
        <w:jc w:val="center"/>
      </w:pPr>
      <w:r>
        <w:t>Рисунок 9 – Структурная схема</w:t>
      </w:r>
    </w:p>
    <w:p>
      <w:pPr>
        <w:pStyle w:val="55"/>
      </w:pPr>
      <w:r>
        <w:t>Внешний источник питания подключен к линейному стабилизатору напряжения. Линейный стабилизатор напряжения подключён к разъему питания.</w:t>
      </w:r>
    </w:p>
    <w:p>
      <w:pPr>
        <w:pStyle w:val="55"/>
      </w:pPr>
    </w:p>
    <w:p>
      <w:pPr>
        <w:pStyle w:val="55"/>
      </w:pPr>
    </w:p>
    <w:p>
      <w:pPr>
        <w:pStyle w:val="55"/>
      </w:pPr>
    </w:p>
    <w:p>
      <w:pPr>
        <w:pStyle w:val="55"/>
      </w:pPr>
    </w:p>
    <w:p>
      <w:pPr>
        <w:pStyle w:val="3"/>
      </w:pPr>
      <w:bookmarkStart w:id="31" w:name="_Toc102599182"/>
      <w:r>
        <w:t>1.3.2 Функциональная схема</w:t>
      </w:r>
      <w:bookmarkEnd w:id="31"/>
    </w:p>
    <w:p>
      <w:pPr>
        <w:pStyle w:val="55"/>
      </w:pPr>
    </w:p>
    <w:p>
      <w:pPr>
        <w:pStyle w:val="55"/>
      </w:pPr>
    </w:p>
    <w:p>
      <w:pPr>
        <w:pStyle w:val="55"/>
      </w:pPr>
    </w:p>
    <w:p>
      <w:pPr>
        <w:pStyle w:val="55"/>
      </w:pPr>
    </w:p>
    <w:p>
      <w:pPr>
        <w:pStyle w:val="3"/>
      </w:pPr>
      <w:bookmarkStart w:id="32" w:name="_Toc102599183"/>
      <w:bookmarkStart w:id="33" w:name="_Toc70671185"/>
      <w:bookmarkStart w:id="34" w:name="_Toc82713041"/>
      <w:r>
        <w:t>1.4 Вывод</w:t>
      </w:r>
      <w:bookmarkEnd w:id="32"/>
      <w:bookmarkEnd w:id="33"/>
      <w:bookmarkEnd w:id="34"/>
      <w:r>
        <w:t xml:space="preserve"> </w:t>
      </w:r>
    </w:p>
    <w:p>
      <w:pPr>
        <w:pStyle w:val="55"/>
        <w:rPr>
          <w:szCs w:val="28"/>
        </w:rPr>
      </w:pPr>
      <w:r>
        <w:rPr>
          <w:szCs w:val="28"/>
        </w:rPr>
        <w:t>Проведено исследование принципов работы компонентов. Разработана и описана структурная схема.</w:t>
      </w:r>
    </w:p>
    <w:p>
      <w:pPr>
        <w:pStyle w:val="55"/>
        <w:rPr>
          <w:szCs w:val="28"/>
        </w:rPr>
      </w:pPr>
    </w:p>
    <w:p>
      <w:pPr>
        <w:suppressAutoHyphens w:val="0"/>
        <w:spacing w:line="240" w:lineRule="auto"/>
        <w:jc w:val="left"/>
        <w:rPr>
          <w:rFonts w:eastAsia="Calibri"/>
          <w:szCs w:val="28"/>
        </w:rPr>
      </w:pPr>
      <w:r>
        <w:rPr>
          <w:szCs w:val="28"/>
        </w:rPr>
        <w:br w:type="page"/>
      </w:r>
    </w:p>
    <w:p>
      <w:pPr>
        <w:pStyle w:val="3"/>
      </w:pPr>
      <w:bookmarkStart w:id="35" w:name="_Toc102599184"/>
      <w:bookmarkStart w:id="36" w:name="_Toc52390245"/>
      <w:bookmarkStart w:id="37" w:name="_Toc82713042"/>
      <w:bookmarkStart w:id="38" w:name="_Toc70671186"/>
      <w:r>
        <w:t>2 Конструкторский раздел</w:t>
      </w:r>
      <w:bookmarkEnd w:id="35"/>
      <w:bookmarkEnd w:id="36"/>
      <w:bookmarkEnd w:id="37"/>
      <w:bookmarkEnd w:id="38"/>
    </w:p>
    <w:p>
      <w:pPr>
        <w:pStyle w:val="3"/>
      </w:pPr>
      <w:bookmarkStart w:id="39" w:name="_Toc52390246"/>
      <w:bookmarkStart w:id="40" w:name="_Toc70671187"/>
      <w:bookmarkStart w:id="41" w:name="_Toc82713043"/>
      <w:bookmarkStart w:id="42" w:name="_Toc102599185"/>
      <w:r>
        <w:t>2.1 Выбор компонентов</w:t>
      </w:r>
      <w:bookmarkEnd w:id="39"/>
      <w:bookmarkEnd w:id="40"/>
      <w:bookmarkEnd w:id="41"/>
      <w:bookmarkEnd w:id="42"/>
      <w:r>
        <w:t xml:space="preserve"> </w:t>
      </w:r>
    </w:p>
    <w:p>
      <w:pPr>
        <w:pStyle w:val="3"/>
      </w:pPr>
      <w:bookmarkStart w:id="43" w:name="_Toc52390247"/>
      <w:bookmarkStart w:id="44" w:name="_Toc70671188"/>
      <w:bookmarkStart w:id="45" w:name="_Toc82713044"/>
      <w:bookmarkStart w:id="46" w:name="_Toc102599186"/>
      <w:r>
        <w:t>2.1.1 Выбор датчика</w:t>
      </w:r>
      <w:bookmarkEnd w:id="43"/>
      <w:bookmarkEnd w:id="44"/>
      <w:bookmarkEnd w:id="45"/>
      <w:r>
        <w:t xml:space="preserve"> Холла</w:t>
      </w:r>
      <w:bookmarkEnd w:id="46"/>
    </w:p>
    <w:p>
      <w:bookmarkStart w:id="47" w:name="_Toc70671189"/>
      <w:bookmarkStart w:id="48" w:name="_Toc52390248"/>
      <w:r>
        <w:tab/>
      </w:r>
      <w:r>
        <w:t>Выберем датчик Холла. Рассмотрим датчики Холла основных производителей и их конструктивные особенности [8].</w:t>
      </w:r>
    </w:p>
    <w:p>
      <w:r>
        <w:tab/>
      </w:r>
      <w:r>
        <w:t>Компании Texas Instruments предлагают датчики Холла с ультрамалым энергопотреблением для компактных применений с автономным питанием. Имеются модели для определения фиксированного положения объекта и для измерения его движения.</w:t>
      </w:r>
    </w:p>
    <w:p>
      <w:r>
        <w:tab/>
      </w:r>
      <w:r>
        <w:t>Для передачи в электрическую схему информации о положении различных подвижных элементов, таких как валы, заслонки, крышки, роторы электродвигателей, в свое время были разработаны специализированные приборы, известные как датчики положения. Существуют датчики, основанные на электромеханическом, емкостном, индуктивном, ультразвуковом, магнитном или оптическом принципе работы, а также множество комбинированных устройств. В последние десятилетия список типов датчиков положения пополнился еще одним типом – датчиками на основе эффекта Холла.</w:t>
      </w:r>
    </w:p>
    <w:p>
      <w:r>
        <w:tab/>
      </w:r>
      <w:r>
        <w:t>Отличительными характеристиками современной электроники являются компактность и экономичность. И если с компактностью у датчиков Холла особых проблем никогда не было, то с экономичностью до недавнего времени было непросто: в связи с появлением экономичных электронных приборов, позволяющих устройству несколько лет работать от одноэлементной литиевой батарейки, даже небольшой ток потребления обычного датчика Холла уже вносит ощутимый вклад в общее энергопотребление системы.</w:t>
      </w:r>
    </w:p>
    <w:p>
      <w:r>
        <w:tab/>
      </w:r>
      <w:r>
        <w:t>Поэтому в последнее время ведущие производители электронных компонентов, в том числе Texas Instruments, представили новый тип датчиков положения на основе эффекта Холла, отличающийся повышенной экономичностью. Ключевой особенностью этих микросхем является ультрамалый ток собственного потребления, который в совокупности с компактными размерами и высокой чувствительностью делает их идеальными для компактных приложений с батарейным питанием.</w:t>
      </w:r>
    </w:p>
    <w:p>
      <w:pPr>
        <w:rPr>
          <w:b/>
          <w:i/>
        </w:rPr>
      </w:pPr>
      <w:r>
        <w:rPr>
          <w:b/>
          <w:i/>
        </w:rPr>
        <w:t>Особенности малопотребляющих дискретных датчиков Холла</w:t>
      </w:r>
    </w:p>
    <w:p>
      <w:r>
        <w:tab/>
      </w:r>
      <w:r>
        <w:t>Различают линейные и дискретные датчики Холла (рисунок 1). Выходные сигналы линейных датчиков пропорциональны величине магнитной индукции. Основная сфера применения подобных устройств – измерители напряженности магнитного поля, датчики постоянных и переменных токов (рис.2), бесконтактные потенциометры, датчики угла поворота и прочие приложения, работающие с непрерывными сигналами. Кроме усилителя и схем температурной компенсации микросхемы, в зависимости от специализации, могут содержать множество других узлов, например, АЦП, компараторы тревожных сигналов для активизации центрального микроконтроллера, контроллеры популярных интерфейсов передачи данных, (USART, I</w:t>
      </w:r>
      <w:r>
        <w:rPr>
          <w:sz w:val="17"/>
          <w:szCs w:val="17"/>
          <w:vertAlign w:val="superscript"/>
        </w:rPr>
        <w:t>2</w:t>
      </w:r>
      <w:r>
        <w:t>C, SPI и других), а также энергонезависимую память для хранения настроек.</w:t>
      </w:r>
    </w:p>
    <w:p>
      <w:pPr>
        <w:shd w:val="clear" w:color="auto" w:fill="FEFEFE"/>
        <w:suppressAutoHyphens w:val="0"/>
        <w:spacing w:line="240" w:lineRule="auto"/>
        <w:jc w:val="center"/>
        <w:rPr>
          <w:rFonts w:ascii="Arial" w:hAnsi="Arial" w:cs="Arial"/>
          <w:color w:val="111111"/>
          <w:sz w:val="23"/>
          <w:szCs w:val="23"/>
        </w:rPr>
      </w:pPr>
      <w:r>
        <w:rPr>
          <w:rFonts w:ascii="Arial" w:hAnsi="Arial" w:cs="Arial"/>
          <w:color w:val="111111"/>
          <w:sz w:val="23"/>
          <w:szCs w:val="23"/>
        </w:rPr>
        <w:drawing>
          <wp:inline distT="0" distB="0" distL="0" distR="0">
            <wp:extent cx="3365500" cy="1439545"/>
            <wp:effectExtent l="0" t="0" r="6350" b="8255"/>
            <wp:docPr id="44" name="Рисунок 44" descr="Рис. 1. Структурные схемы датчиков Хол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Рисунок 44" descr="Рис. 1. Структурные схемы датчиков Холла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75884" cy="1444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EFEFE"/>
        <w:suppressAutoHyphens w:val="0"/>
        <w:spacing w:before="120"/>
        <w:jc w:val="center"/>
        <w:rPr>
          <w:color w:val="111111"/>
        </w:rPr>
      </w:pPr>
      <w:r>
        <w:rPr>
          <w:color w:val="111111"/>
        </w:rPr>
        <w:t>Рисунок 1 - Структурные схемы датчиков Холла</w:t>
      </w:r>
    </w:p>
    <w:p>
      <w:r>
        <w:tab/>
      </w:r>
      <w:r>
        <w:t>Классическим примером использования дискретных датчиков Холла являются электродвигатели, используемые в компьютерном оборудовании (рис.2). Размещенный на плате двигателя датчик Холла измеряет напряженность магнитного поля, создаваемого постоянным магнитом ротора, формируя импульсный сигнал с логическими уровнями, частота которого пропорциональна частоте вращения, что позволяет оценить как исправность, так и производительность вентилятора.</w:t>
      </w:r>
    </w:p>
    <w:p>
      <w:pPr>
        <w:rPr>
          <w:b/>
          <w:i/>
        </w:rPr>
      </w:pPr>
      <w:r>
        <w:rPr>
          <w:b/>
          <w:i/>
        </w:rPr>
        <w:t>Малопотребляющие датчики Холла производства Texas Instruments</w:t>
      </w:r>
    </w:p>
    <w:p>
      <w:r>
        <w:t xml:space="preserve">В ассортименте TI присутствуют две модели датчиков с ультрамалым потреблением, взаимно дополняющие друг друга по своей функциональности. Ключевым отличием предлагаемых приборов является метод формирования выходного сигнала. Датчики </w:t>
      </w:r>
      <w:r>
        <w:fldChar w:fldCharType="begin"/>
      </w:r>
      <w:r>
        <w:instrText xml:space="preserve"> HYPERLINK "https://www.compel.ru/search?sp=DRV5012*(TI)" </w:instrText>
      </w:r>
      <w:r>
        <w:fldChar w:fldCharType="separate"/>
      </w:r>
      <w:r>
        <w:t>DRV5012</w:t>
      </w:r>
      <w:r>
        <w:fldChar w:fldCharType="end"/>
      </w:r>
      <w:r>
        <w:t xml:space="preserve"> имеют функцию защелки, состояние которой меняется только при изменении полярности магнитного поля (рис.2). Это и определяет практическое назначение микросхем: DRV5012 – для измерения движения, например, ротора электродвигателя, и больше ориентированы на работу с многополюсными магнитами.</w:t>
      </w:r>
    </w:p>
    <w:p>
      <w:pPr>
        <w:shd w:val="clear" w:color="auto" w:fill="FEFEFE"/>
        <w:suppressAutoHyphens w:val="0"/>
        <w:spacing w:line="240" w:lineRule="auto"/>
        <w:jc w:val="center"/>
        <w:rPr>
          <w:rFonts w:ascii="Arial" w:hAnsi="Arial" w:cs="Arial"/>
          <w:color w:val="111111"/>
          <w:sz w:val="23"/>
          <w:szCs w:val="23"/>
        </w:rPr>
      </w:pPr>
      <w:r>
        <w:rPr>
          <w:rFonts w:ascii="Arial" w:hAnsi="Arial" w:cs="Arial"/>
          <w:color w:val="111111"/>
          <w:sz w:val="23"/>
          <w:szCs w:val="23"/>
        </w:rPr>
        <w:drawing>
          <wp:inline distT="0" distB="0" distL="0" distR="0">
            <wp:extent cx="2625090" cy="2283460"/>
            <wp:effectExtent l="0" t="0" r="3810" b="2540"/>
            <wp:docPr id="26" name="Рисунок 26" descr="Рис. 7. Принцип работы датчиков DRV5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Рисунок 26" descr="Рис. 7. Принцип работы датчиков DRV501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54793" cy="2309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EFEFE"/>
        <w:suppressAutoHyphens w:val="0"/>
        <w:spacing w:before="120" w:line="240" w:lineRule="auto"/>
        <w:jc w:val="center"/>
        <w:rPr>
          <w:color w:val="111111"/>
        </w:rPr>
      </w:pPr>
      <w:r>
        <w:rPr>
          <w:color w:val="111111"/>
        </w:rPr>
        <w:t>Рисунок 2 -. Принцип работы датчиков DRV5012</w:t>
      </w:r>
    </w:p>
    <w:p>
      <w:pPr>
        <w:shd w:val="clear" w:color="auto" w:fill="FEFEFE"/>
        <w:suppressAutoHyphens w:val="0"/>
        <w:spacing w:before="120" w:line="240" w:lineRule="auto"/>
        <w:jc w:val="center"/>
        <w:rPr>
          <w:color w:val="111111"/>
        </w:rPr>
      </w:pPr>
    </w:p>
    <w:p>
      <w:r>
        <w:tab/>
      </w:r>
      <w:r>
        <w:t>Структурная схема микросхем DRV5012 (рис.3) и их технические характеристики (табл.1) Отличительной особенностью DRV5012 является возможность управления частотой измерений с помощью вывода SEL. При наличии низкого уровня на этом входе микросхема будет измерять напряженность магнитного поля 20 раз в секунду, а при установке логической единицы частота измерений увеличивается до 2,5 кГц. Это позволяет использовать данные приборы в приложениях как с медленными, так и с быстро протекающими процессами, а также оптимизировать энергопотребление системы в различных режимах работы.</w:t>
      </w:r>
    </w:p>
    <w:p>
      <w:pPr>
        <w:shd w:val="clear" w:color="auto" w:fill="FEFEFE"/>
        <w:suppressAutoHyphens w:val="0"/>
        <w:spacing w:line="240" w:lineRule="auto"/>
        <w:jc w:val="center"/>
        <w:rPr>
          <w:rFonts w:ascii="Arial" w:hAnsi="Arial" w:cs="Arial"/>
          <w:color w:val="111111"/>
          <w:sz w:val="23"/>
          <w:szCs w:val="23"/>
        </w:rPr>
      </w:pPr>
      <w:r>
        <w:rPr>
          <w:rFonts w:ascii="Arial" w:hAnsi="Arial" w:cs="Arial"/>
          <w:color w:val="111111"/>
          <w:sz w:val="23"/>
          <w:szCs w:val="23"/>
        </w:rPr>
        <w:drawing>
          <wp:inline distT="0" distB="0" distL="0" distR="0">
            <wp:extent cx="3472815" cy="2315210"/>
            <wp:effectExtent l="0" t="0" r="0" b="8890"/>
            <wp:docPr id="52" name="Рисунок 52" descr="Рис. 10. Структурная схема датчиков DRV5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Рисунок 52" descr="Рис. 10. Структурная схема датчиков DRV501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82226" cy="2321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EFEFE"/>
        <w:suppressAutoHyphens w:val="0"/>
        <w:spacing w:before="120"/>
        <w:jc w:val="center"/>
        <w:rPr>
          <w:color w:val="111111"/>
        </w:rPr>
      </w:pPr>
      <w:r>
        <w:rPr>
          <w:color w:val="111111"/>
        </w:rPr>
        <w:t>Рисунок 3 - Структурная схема датчиков DRV5012</w:t>
      </w:r>
    </w:p>
    <w:p>
      <w:r>
        <w:t>Таблица 2 - Технические характеристики микросхемы DRV5012</w:t>
      </w:r>
    </w:p>
    <w:p>
      <w:pPr>
        <w:jc w:val="center"/>
      </w:pPr>
      <w:r>
        <w:drawing>
          <wp:inline distT="0" distB="0" distL="0" distR="0">
            <wp:extent cx="5660390" cy="2287905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Рисунок 58"/>
                    <pic:cNvPicPr>
                      <a:picLocks noChangeAspect="1"/>
                    </pic:cNvPicPr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82505" cy="2297049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t xml:space="preserve">Выберем датчик Холла типа </w:t>
      </w:r>
      <w:r>
        <w:rPr>
          <w:color w:val="111111"/>
        </w:rPr>
        <w:t>DRV5012 в качестве основного датчика.</w:t>
      </w:r>
    </w:p>
    <w:p>
      <w:pPr>
        <w:pStyle w:val="3"/>
      </w:pPr>
      <w:bookmarkStart w:id="49" w:name="_Toc82713045"/>
      <w:bookmarkStart w:id="50" w:name="_Toc102599187"/>
      <w:r>
        <w:t>2.1.2 Выбор элементов схемы регулирования и стабилизации частоты</w:t>
      </w:r>
      <w:bookmarkEnd w:id="47"/>
      <w:bookmarkEnd w:id="48"/>
      <w:bookmarkEnd w:id="49"/>
      <w:r>
        <w:t xml:space="preserve"> вращения коллекторного электродвигателя</w:t>
      </w:r>
      <w:bookmarkEnd w:id="50"/>
    </w:p>
    <w:p>
      <w:bookmarkStart w:id="51" w:name="_Toc82713048"/>
      <w:bookmarkStart w:id="52" w:name="_Toc70671191"/>
      <w:bookmarkStart w:id="53" w:name="_Toc52390250"/>
    </w:p>
    <w:p/>
    <w:p/>
    <w:p/>
    <w:p/>
    <w:p/>
    <w:bookmarkEnd w:id="51"/>
    <w:bookmarkEnd w:id="52"/>
    <w:bookmarkEnd w:id="53"/>
    <w:p>
      <w:pPr>
        <w:pStyle w:val="3"/>
      </w:pPr>
      <w:bookmarkStart w:id="54" w:name="_Toc102599188"/>
      <w:bookmarkStart w:id="55" w:name="_Toc70671200"/>
      <w:bookmarkStart w:id="56" w:name="_Toc82713058"/>
      <w:bookmarkStart w:id="57" w:name="_Toc52390254"/>
      <w:r>
        <w:t>2.2 Разработка схемы принципиальной электрической</w:t>
      </w:r>
      <w:bookmarkEnd w:id="54"/>
      <w:bookmarkEnd w:id="55"/>
      <w:bookmarkEnd w:id="56"/>
      <w:bookmarkEnd w:id="57"/>
    </w:p>
    <w:p>
      <w:pPr>
        <w:pStyle w:val="55"/>
      </w:pPr>
      <w:r>
        <w:t>После всех расчётов была разработана электрическая принципиальная схема.</w:t>
      </w:r>
    </w:p>
    <w:p/>
    <w:p/>
    <w:p/>
    <w:p/>
    <w:p/>
    <w:p>
      <w:pPr>
        <w:pStyle w:val="55"/>
        <w:jc w:val="center"/>
      </w:pPr>
    </w:p>
    <w:p>
      <w:pPr>
        <w:pStyle w:val="3"/>
      </w:pPr>
      <w:bookmarkStart w:id="58" w:name="_Toc82713061"/>
      <w:bookmarkStart w:id="59" w:name="_Toc102599189"/>
      <w:r>
        <w:t>2.2.1 Разработка схемы</w:t>
      </w:r>
      <w:bookmarkEnd w:id="58"/>
      <w:bookmarkEnd w:id="59"/>
    </w:p>
    <w:p/>
    <w:p/>
    <w:p/>
    <w:p>
      <w:pPr>
        <w:pStyle w:val="3"/>
      </w:pPr>
      <w:bookmarkStart w:id="60" w:name="_Toc102599190"/>
      <w:r>
        <w:t>2.2.2 Моделирование элементов схемы</w:t>
      </w:r>
      <w:bookmarkEnd w:id="60"/>
    </w:p>
    <w:p>
      <w:pPr>
        <w:pStyle w:val="55"/>
        <w:rPr>
          <w:color w:val="0D0D0D" w:themeColor="text1" w:themeTint="F2"/>
          <w:sz w:val="2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t xml:space="preserve">Произведем моделирование схемы в </w:t>
      </w:r>
      <w:r>
        <w:rPr>
          <w:lang w:val="en-US"/>
        </w:rPr>
        <w:t>Multisim</w:t>
      </w:r>
      <w:r>
        <w:t xml:space="preserve"> 14. </w:t>
      </w:r>
      <w:bookmarkStart w:id="61" w:name="_Toc52390255"/>
      <w:bookmarkStart w:id="62" w:name="_Toc70671201"/>
      <w:bookmarkStart w:id="63" w:name="_Toc82713062"/>
      <w:r>
        <w:rPr>
          <w:bCs/>
          <w:color w:val="0D0D0D" w:themeColor="text1" w:themeTint="F2"/>
          <w:szCs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Расчёт погрешностей</w:t>
      </w:r>
      <w:bookmarkEnd w:id="61"/>
      <w:bookmarkEnd w:id="62"/>
      <w:bookmarkEnd w:id="63"/>
    </w:p>
    <w:p>
      <w:pPr>
        <w:pStyle w:val="55"/>
        <w:ind w:firstLine="0"/>
      </w:pPr>
    </w:p>
    <w:p>
      <w:pPr>
        <w:pStyle w:val="55"/>
        <w:ind w:firstLine="0"/>
      </w:pPr>
    </w:p>
    <w:p>
      <w:pPr>
        <w:pStyle w:val="55"/>
        <w:ind w:firstLine="0"/>
      </w:pPr>
    </w:p>
    <w:p>
      <w:pPr>
        <w:pStyle w:val="55"/>
        <w:ind w:firstLine="0"/>
      </w:pPr>
    </w:p>
    <w:p>
      <w:pPr>
        <w:pStyle w:val="55"/>
        <w:ind w:firstLine="0"/>
      </w:pPr>
    </w:p>
    <w:p>
      <w:pPr>
        <w:pStyle w:val="55"/>
        <w:ind w:firstLine="0"/>
      </w:pPr>
    </w:p>
    <w:p>
      <w:pPr>
        <w:pStyle w:val="55"/>
        <w:ind w:firstLine="0"/>
      </w:pPr>
    </w:p>
    <w:p>
      <w:pPr>
        <w:pStyle w:val="55"/>
        <w:ind w:firstLine="0"/>
      </w:pPr>
    </w:p>
    <w:p>
      <w:pPr>
        <w:pStyle w:val="55"/>
        <w:ind w:firstLine="0"/>
      </w:pPr>
    </w:p>
    <w:p>
      <w:pPr>
        <w:pStyle w:val="3"/>
      </w:pPr>
      <w:bookmarkStart w:id="64" w:name="_Toc70671205"/>
      <w:bookmarkStart w:id="65" w:name="_Toc82713064"/>
      <w:bookmarkStart w:id="66" w:name="_Toc52390256"/>
      <w:bookmarkStart w:id="67" w:name="_Toc102599191"/>
      <w:r>
        <w:t>2.2.3 Расчет погрешности стабилизации частоты вращения</w:t>
      </w:r>
      <w:bookmarkEnd w:id="64"/>
      <w:bookmarkEnd w:id="65"/>
      <w:bookmarkEnd w:id="66"/>
      <w:r>
        <w:t xml:space="preserve"> КЭ</w:t>
      </w:r>
      <w:bookmarkEnd w:id="67"/>
    </w:p>
    <w:p/>
    <w:p/>
    <w:p/>
    <w:p/>
    <w:p/>
    <w:p/>
    <w:p/>
    <w:p>
      <w:pPr>
        <w:suppressAutoHyphens w:val="0"/>
        <w:spacing w:line="240" w:lineRule="auto"/>
        <w:jc w:val="left"/>
      </w:pPr>
      <w:r>
        <w:br w:type="page"/>
      </w:r>
    </w:p>
    <w:p>
      <w:pPr>
        <w:pStyle w:val="3"/>
      </w:pPr>
      <w:bookmarkStart w:id="68" w:name="_Toc82713065"/>
      <w:bookmarkStart w:id="69" w:name="_Toc52390257"/>
      <w:bookmarkStart w:id="70" w:name="_Toc70671206"/>
      <w:bookmarkStart w:id="71" w:name="_Toc102599192"/>
      <w:r>
        <w:t>Заключение</w:t>
      </w:r>
      <w:bookmarkEnd w:id="68"/>
      <w:bookmarkEnd w:id="69"/>
      <w:bookmarkEnd w:id="70"/>
      <w:bookmarkEnd w:id="71"/>
    </w:p>
    <w:p>
      <w:pPr>
        <w:pStyle w:val="55"/>
      </w:pPr>
      <w:r>
        <w:t xml:space="preserve">В результате работы были спроектированы и проанализированы структурная, функциональная и принципиальная схема устройства, удовлетворяющие техническому заданию. </w:t>
      </w:r>
    </w:p>
    <w:p>
      <w:pPr>
        <w:pStyle w:val="55"/>
      </w:pPr>
      <w:r>
        <w:t>Подробно были изучены и подобраны компоненты схемы.</w:t>
      </w:r>
    </w:p>
    <w:p>
      <w:pPr>
        <w:pStyle w:val="55"/>
      </w:pPr>
      <w:r>
        <w:t xml:space="preserve">Рассчитаны погрешности. </w:t>
      </w:r>
    </w:p>
    <w:p>
      <w:pPr>
        <w:pStyle w:val="55"/>
      </w:pPr>
      <w:r>
        <w:t xml:space="preserve">Результатом данной курсовой работы является настоящая расчетно-пояснительная записка, а также приложения к ней. Также стоит отметить, что данное задание позволило на практике применить задания, полученные на курсах по схемотехнике электронных устройств и электронике, прочитанных ранее. </w:t>
      </w:r>
      <w:bookmarkStart w:id="72" w:name="_Список_литературы"/>
      <w:bookmarkEnd w:id="72"/>
      <w:bookmarkStart w:id="73" w:name="_Toc52390258"/>
    </w:p>
    <w:p>
      <w:pPr>
        <w:suppressAutoHyphens w:val="0"/>
        <w:spacing w:line="240" w:lineRule="auto"/>
        <w:jc w:val="left"/>
        <w:rPr>
          <w:rFonts w:eastAsia="Calibri"/>
        </w:rPr>
      </w:pPr>
      <w:r>
        <w:br w:type="page"/>
      </w:r>
    </w:p>
    <w:p>
      <w:pPr>
        <w:pStyle w:val="3"/>
      </w:pPr>
      <w:bookmarkStart w:id="74" w:name="_Toc102599193"/>
      <w:r>
        <w:t>СПИСОК ИСПОЛЬЗОВАННЫХ ИСТОЧНИКОВ И ЛИТЕРАТУРЫ</w:t>
      </w:r>
      <w:bookmarkEnd w:id="74"/>
    </w:p>
    <w:p>
      <w:pPr>
        <w:numPr>
          <w:ilvl w:val="0"/>
          <w:numId w:val="18"/>
        </w:numPr>
        <w:jc w:val="left"/>
      </w:pPr>
      <w:r>
        <w:t xml:space="preserve">Коллекторный электродвигатель постоянного тока. – [Электронный ресурс] – Режим доступа: </w:t>
      </w:r>
      <w:r>
        <w:fldChar w:fldCharType="begin"/>
      </w:r>
      <w:r>
        <w:instrText xml:space="preserve"> HYPERLINK "https://engineering-solutions.ru/motorcontrol/brushdcmotor/" </w:instrText>
      </w:r>
      <w:r>
        <w:fldChar w:fldCharType="separate"/>
      </w:r>
      <w:r>
        <w:rPr>
          <w:rStyle w:val="28"/>
        </w:rPr>
        <w:t>https://engineering-solutions.ru/motorcontrol/brushdcmotor/</w:t>
      </w:r>
      <w:r>
        <w:rPr>
          <w:rStyle w:val="28"/>
        </w:rPr>
        <w:fldChar w:fldCharType="end"/>
      </w:r>
      <w:r>
        <w:t>. Дата обращения 13.00 20.03.22.</w:t>
      </w:r>
    </w:p>
    <w:p>
      <w:pPr>
        <w:numPr>
          <w:ilvl w:val="0"/>
          <w:numId w:val="18"/>
        </w:numPr>
        <w:jc w:val="left"/>
      </w:pPr>
      <w:r>
        <w:t>Кенио Т., Нагамори С. Двигатели постоянного тока с постоянными магнитами: Пер. с англ.-М.: Энергоатомиздат, 1989. – 313 с.</w:t>
      </w:r>
    </w:p>
    <w:p>
      <w:pPr>
        <w:numPr>
          <w:ilvl w:val="0"/>
          <w:numId w:val="18"/>
        </w:numPr>
        <w:jc w:val="left"/>
      </w:pPr>
      <w:r>
        <w:t>ГОСТ 27471-87 Машины электрические вращающиеся. Термины и определения. – 64 с.</w:t>
      </w:r>
    </w:p>
    <w:p>
      <w:pPr>
        <w:numPr>
          <w:ilvl w:val="0"/>
          <w:numId w:val="18"/>
        </w:numPr>
        <w:jc w:val="left"/>
      </w:pPr>
      <w:r>
        <w:t>Кацман М. М. Электрические машины и электропривод автоматических устройств: Учебник для электротехнических специальностей техникумов. М.: Высш. шк., 1987. - 495 с.</w:t>
      </w:r>
    </w:p>
    <w:p>
      <w:pPr>
        <w:numPr>
          <w:ilvl w:val="0"/>
          <w:numId w:val="18"/>
        </w:numPr>
        <w:jc w:val="left"/>
      </w:pPr>
      <w:r>
        <w:t>Пиотровский Л. М. Электрические машины. Учебник для учащихся электромашиностроительных, энергетических и электротехнических техникумов. Л.: Энергия, 1972. – 266 с.</w:t>
      </w:r>
    </w:p>
    <w:bookmarkEnd w:id="73"/>
    <w:p>
      <w:pPr>
        <w:numPr>
          <w:ilvl w:val="0"/>
          <w:numId w:val="18"/>
        </w:numPr>
        <w:jc w:val="left"/>
      </w:pPr>
      <w:r>
        <w:t xml:space="preserve">ЭЛЕКТРОДВИГАТЕЛИ ПОСТОЯННОГО ТОКА И ОБЛАСТИ ИХ ПРИМЕНЕНИЯ. – [Электронный ресурс] – Режим доступа: </w:t>
      </w:r>
      <w:r>
        <w:fldChar w:fldCharType="begin"/>
      </w:r>
      <w:r>
        <w:instrText xml:space="preserve"> HYPERLINK "https://cable.ru/articles/id-789.php" </w:instrText>
      </w:r>
      <w:r>
        <w:fldChar w:fldCharType="separate"/>
      </w:r>
      <w:r>
        <w:rPr>
          <w:rStyle w:val="28"/>
        </w:rPr>
        <w:t>https://cable.ru/articles/id-789.php</w:t>
      </w:r>
      <w:r>
        <w:rPr>
          <w:rStyle w:val="28"/>
        </w:rPr>
        <w:fldChar w:fldCharType="end"/>
      </w:r>
      <w:r>
        <w:t xml:space="preserve"> дата обращения 13.00 21.04.22.</w:t>
      </w:r>
    </w:p>
    <w:p>
      <w:pPr>
        <w:numPr>
          <w:ilvl w:val="0"/>
          <w:numId w:val="18"/>
        </w:numPr>
        <w:jc w:val="left"/>
      </w:pPr>
      <w:r>
        <w:t xml:space="preserve">Интегральные датчики Холла. – [Электронный ресурс] – Режим доступа: </w:t>
      </w:r>
      <w:r>
        <w:rPr>
          <w:color w:val="0070C0"/>
          <w:u w:val="single"/>
        </w:rPr>
        <w:t>https://gearmotor.ru/hall.htm</w:t>
      </w:r>
      <w:r>
        <w:rPr>
          <w:color w:val="0070C0"/>
        </w:rPr>
        <w:t xml:space="preserve"> </w:t>
      </w:r>
      <w:r>
        <w:t>дата обращения 13.00 21.04.22.</w:t>
      </w:r>
    </w:p>
    <w:p>
      <w:pPr>
        <w:numPr>
          <w:ilvl w:val="0"/>
          <w:numId w:val="18"/>
        </w:numPr>
        <w:jc w:val="left"/>
      </w:pPr>
      <w:r>
        <w:t xml:space="preserve">Интегральные малопотребляющие датчики положения на основе эффекта Холла. . – [Электронный ресурс] – Режим доступа: </w:t>
      </w:r>
      <w:r>
        <w:rPr>
          <w:color w:val="0070C0"/>
          <w:u w:val="single"/>
        </w:rPr>
        <w:t>https://www.compel.ru/lib/92805.htm</w:t>
      </w:r>
      <w:r>
        <w:t xml:space="preserve"> дата обращения 13.00 21.04.22.</w:t>
      </w:r>
    </w:p>
    <w:p>
      <w:pPr>
        <w:numPr>
          <w:ilvl w:val="0"/>
          <w:numId w:val="18"/>
        </w:numPr>
        <w:jc w:val="left"/>
        <w:rPr>
          <w:lang w:val="en-US"/>
        </w:rPr>
      </w:pPr>
      <w:r>
        <w:rPr>
          <w:lang w:val="en-US"/>
        </w:rPr>
        <w:t>Hall Effect Sensing and Application Book. Honeywell MICRO SWITCH Sensing and Control. 1999.</w:t>
      </w:r>
      <w:r>
        <w:t xml:space="preserve"> – 213 с.</w:t>
      </w:r>
    </w:p>
    <w:p>
      <w:pPr>
        <w:numPr>
          <w:ilvl w:val="0"/>
          <w:numId w:val="18"/>
        </w:numPr>
        <w:jc w:val="left"/>
      </w:pPr>
      <w:r>
        <w:t xml:space="preserve">Регулятор скорости двигателя постоянного тока. ШИМ. – [Электронный ресурс] – Режим доступа: </w:t>
      </w:r>
      <w:r>
        <w:rPr>
          <w:color w:val="0070C0"/>
          <w:u w:val="single"/>
        </w:rPr>
        <w:t>https://chipenable.ru/index.php/programming-avr/item</w:t>
      </w:r>
      <w:r>
        <w:t>/ дата обращения 13.00 21.04.22.</w:t>
      </w:r>
    </w:p>
    <w:p>
      <w:pPr>
        <w:numPr>
          <w:ilvl w:val="0"/>
          <w:numId w:val="18"/>
        </w:numPr>
        <w:jc w:val="left"/>
      </w:pPr>
      <w:r>
        <w:t xml:space="preserve">Двигатели постоянного тока стабилизация скорости. – [Электронный ресурс] – Режим доступа: </w:t>
      </w:r>
      <w:r>
        <w:rPr>
          <w:color w:val="0070C0"/>
          <w:u w:val="single"/>
        </w:rPr>
        <w:t>https://lemzspb.ru/dvigateli-postoyannogo-toka-stabilizatsiya-skorosti/</w:t>
      </w:r>
      <w:r>
        <w:t xml:space="preserve"> дата обращения 13.00 21.04.22.</w:t>
      </w:r>
    </w:p>
    <w:p>
      <w:pPr>
        <w:numPr>
          <w:ilvl w:val="0"/>
          <w:numId w:val="18"/>
        </w:numPr>
        <w:jc w:val="left"/>
      </w:pPr>
    </w:p>
    <w:p/>
    <w:p>
      <w:pPr>
        <w:sectPr>
          <w:footerReference r:id="rId3" w:type="default"/>
          <w:footerReference r:id="rId4" w:type="even"/>
          <w:pgSz w:w="11900" w:h="16840"/>
          <w:pgMar w:top="993" w:right="560" w:bottom="1135" w:left="1701" w:header="708" w:footer="708" w:gutter="0"/>
          <w:cols w:space="708" w:num="1"/>
          <w:docGrid w:linePitch="360" w:charSpace="0"/>
        </w:sectPr>
      </w:pPr>
    </w:p>
    <w:p>
      <w:pPr>
        <w:pStyle w:val="3"/>
        <w:rPr>
          <w:lang w:val="en-US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bookmarkStart w:id="75" w:name="_Toc102599194"/>
      <w:r>
        <w:rPr>
          <w:lang w:val="en-US"/>
        </w:rPr>
        <w:t>Приложение А</w:t>
      </w:r>
      <w:bookmarkEnd w:id="75"/>
    </w:p>
    <w:p>
      <w:pPr>
        <w:jc w:val="center"/>
        <w:rPr>
          <w:lang w:val="en-US"/>
        </w:rPr>
      </w:pPr>
      <w:r>
        <w:drawing>
          <wp:inline distT="0" distB="0" distL="0" distR="0">
            <wp:extent cx="9251950" cy="583184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>
                      <a:picLocks noChangeAspect="1"/>
                    </pic:cNvPicPr>
                  </pic:nvPicPr>
                  <pic:blipFill>
                    <a:blip r:embed="rId35" cstate="screen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6533" t="2788" r="6715"/>
                    <a:stretch>
                      <a:fillRect/>
                    </a:stretch>
                  </pic:blipFill>
                  <pic:spPr>
                    <a:xfrm>
                      <a:off x="0" y="0"/>
                      <a:ext cx="9260376" cy="583724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6840" w:h="11900" w:orient="landscape"/>
      <w:pgMar w:top="568" w:right="397" w:bottom="560" w:left="1135" w:header="708" w:footer="708" w:gutter="0"/>
      <w:cols w:space="708" w:num="1"/>
      <w:docGrid w:linePitch="381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DejaVu Sans"/>
    <w:panose1 w:val="02020603050405020304"/>
    <w:charset w:val="CC"/>
    <w:family w:val="roman"/>
    <w:pitch w:val="default"/>
    <w:sig w:usb0="00000000" w:usb1="00000000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altName w:val="Source Han Sans CN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Akaash"/>
    <w:panose1 w:val="05000000000000000000"/>
    <w:charset w:val="00"/>
    <w:family w:val="auto"/>
    <w:pitch w:val="default"/>
    <w:sig w:usb0="00000000" w:usb1="10000000" w:usb2="00000000" w:usb3="00000000" w:csb0="80000000" w:csb1="00000000"/>
  </w:font>
  <w:font w:name="Arial">
    <w:altName w:val="DejaVu Sans"/>
    <w:panose1 w:val="020B0604020202020204"/>
    <w:charset w:val="00"/>
    <w:family w:val="swiss"/>
    <w:pitch w:val="default"/>
    <w:sig w:usb0="20007A87" w:usb1="80000000" w:usb2="00000008" w:usb3="00000000" w:csb0="000001FF" w:csb1="00000000"/>
  </w:font>
  <w:font w:name="黑体">
    <w:altName w:val="Source Han Sans CN"/>
    <w:panose1 w:val="02010600030101010101"/>
    <w:charset w:val="00"/>
    <w:family w:val="auto"/>
    <w:pitch w:val="default"/>
    <w:sig w:usb0="00000001" w:usb1="080E0000" w:usb2="00000010" w:usb3="00000000" w:csb0="00040000" w:csb1="00000000"/>
  </w:font>
  <w:font w:name="Courier New">
    <w:altName w:val="DejaVu Sans"/>
    <w:panose1 w:val="02070309020205020404"/>
    <w:charset w:val="00"/>
    <w:family w:val="modern"/>
    <w:pitch w:val="default"/>
    <w:sig w:usb0="20007A87" w:usb1="80000000" w:usb2="00000008" w:usb3="00000000" w:csb0="000001FF" w:csb1="00000000"/>
  </w:font>
  <w:font w:name="Calibri">
    <w:altName w:val="DejaVu Sans"/>
    <w:panose1 w:val="020F0502020204030204"/>
    <w:charset w:val="86"/>
    <w:family w:val="swiss"/>
    <w:pitch w:val="default"/>
    <w:sig w:usb0="00000000" w:usb1="00000000" w:usb2="00000001" w:usb3="00000000" w:csb0="0000019F" w:csb1="00000000"/>
  </w:font>
  <w:font w:name="SimSun">
    <w:altName w:val="Source Han Sans CN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Calibri">
    <w:altName w:val="DejaVu Sans"/>
    <w:panose1 w:val="020F0502020204030204"/>
    <w:charset w:val="CC"/>
    <w:family w:val="swiss"/>
    <w:pitch w:val="default"/>
    <w:sig w:usb0="00000000" w:usb1="00000000" w:usb2="00000001" w:usb3="00000000" w:csb0="0000019F" w:csb1="00000000"/>
  </w:font>
  <w:font w:name="Calibri">
    <w:altName w:val="DejaVu S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libri Light">
    <w:altName w:val="DejaVu Sans"/>
    <w:panose1 w:val="020F0302020204030204"/>
    <w:charset w:val="CC"/>
    <w:family w:val="swiss"/>
    <w:pitch w:val="default"/>
    <w:sig w:usb0="00000000" w:usb1="00000000" w:usb2="00000000" w:usb3="00000000" w:csb0="0000019F" w:csb1="00000000"/>
  </w:font>
  <w:font w:name="等线 Light">
    <w:altName w:val="Pothana2000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ahoma">
    <w:altName w:val="Noto Sans Tai Tham"/>
    <w:panose1 w:val="020B0604030504040204"/>
    <w:charset w:val="CC"/>
    <w:family w:val="swiss"/>
    <w:pitch w:val="default"/>
    <w:sig w:usb0="00000000" w:usb1="00000000" w:usb2="00000029" w:usb3="00000000" w:csb0="000101FF" w:csb1="00000000"/>
  </w:font>
  <w:font w:name="Arial">
    <w:altName w:val="DejaVu Sans"/>
    <w:panose1 w:val="020B0604020202020204"/>
    <w:charset w:val="CC"/>
    <w:family w:val="swiss"/>
    <w:pitch w:val="default"/>
    <w:sig w:usb0="00000000" w:usb1="00000000" w:usb2="00000009" w:usb3="00000000" w:csb0="000001FF" w:csb1="00000000"/>
  </w:font>
  <w:font w:name="Symbol">
    <w:altName w:val="Standard Symbols PS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ourier New">
    <w:altName w:val="DejaVu Sans"/>
    <w:panose1 w:val="02070309020205020404"/>
    <w:charset w:val="CC"/>
    <w:family w:val="modern"/>
    <w:pitch w:val="default"/>
    <w:sig w:usb0="00000000" w:usb1="00000000" w:usb2="00000009" w:usb3="00000000" w:csb0="000001FF" w:csb1="00000000"/>
  </w:font>
  <w:font w:name="Wingdings">
    <w:altName w:val="Standard Symbols PS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MS Mincho">
    <w:altName w:val="Source Han Sans JP"/>
    <w:panose1 w:val="02020609040205080304"/>
    <w:charset w:val="80"/>
    <w:family w:val="modern"/>
    <w:pitch w:val="default"/>
    <w:sig w:usb0="00000000" w:usb1="00000000" w:usb2="08000012" w:usb3="00000000" w:csb0="0002009F" w:csb1="00000000"/>
  </w:font>
  <w:font w:name="等线">
    <w:altName w:val="Pothana2000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Verdana">
    <w:altName w:val="Noto Sans Tai Tham"/>
    <w:panose1 w:val="020B0604030504040204"/>
    <w:charset w:val="CC"/>
    <w:family w:val="swiss"/>
    <w:pitch w:val="default"/>
    <w:sig w:usb0="00000000" w:usb1="00000000" w:usb2="00000010" w:usb3="00000000" w:csb0="0000019F" w:csb1="00000000"/>
  </w:font>
  <w:font w:name="Helvetica">
    <w:altName w:val="Liberation Sans"/>
    <w:panose1 w:val="020B0604020202020204"/>
    <w:charset w:val="CC"/>
    <w:family w:val="swiss"/>
    <w:pitch w:val="default"/>
    <w:sig w:usb0="00000000" w:usb1="00000000" w:usb2="00000009" w:usb3="00000000" w:csb0="000001F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DejaVu Sans">
    <w:panose1 w:val="020B0603030804020204"/>
    <w:charset w:val="CC"/>
    <w:family w:val="roman"/>
    <w:pitch w:val="default"/>
    <w:sig w:usb0="E7006EFF" w:usb1="D200FDFF" w:usb2="0A246029" w:usb3="0400200C" w:csb0="600001FF" w:csb1="DFFF0000"/>
  </w:font>
  <w:font w:name="Liberation Serif">
    <w:panose1 w:val="02020603050405020304"/>
    <w:charset w:val="00"/>
    <w:family w:val="auto"/>
    <w:pitch w:val="default"/>
    <w:sig w:usb0="E0000AFF" w:usb1="500078FF" w:usb2="00000021" w:usb3="00000000" w:csb0="600001BF" w:csb1="DFF70000"/>
  </w:font>
  <w:font w:name="Calibri Light">
    <w:altName w:val="DejaVu S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a Sans">
    <w:altName w:val="Pothana2000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Pothana2000">
    <w:panose1 w:val="00000400000000000000"/>
    <w:charset w:val="00"/>
    <w:family w:val="auto"/>
    <w:pitch w:val="default"/>
    <w:sig w:usb0="00200000" w:usb1="00000000" w:usb2="00000000" w:usb3="00000000" w:csb0="00000000" w:csb1="00000000"/>
  </w:font>
  <w:font w:name="C059">
    <w:panose1 w:val="00000500000000000000"/>
    <w:charset w:val="00"/>
    <w:family w:val="auto"/>
    <w:pitch w:val="default"/>
    <w:sig w:usb0="00000287" w:usb1="00000800" w:usb2="00000000" w:usb3="00000000" w:csb0="6000009F" w:csb1="00000000"/>
  </w:font>
  <w:font w:name="Noto Sans Tai Tham">
    <w:panose1 w:val="020B0603040504020204"/>
    <w:charset w:val="00"/>
    <w:family w:val="auto"/>
    <w:pitch w:val="default"/>
    <w:sig w:usb0="80000003" w:usb1="00000040" w:usb2="00000000" w:usb3="00000000" w:csb0="00000001" w:csb1="00000000"/>
  </w:font>
  <w:font w:name="Noto Sans Tai Tham">
    <w:panose1 w:val="020B0603040504020204"/>
    <w:charset w:val="CC"/>
    <w:family w:val="swiss"/>
    <w:pitch w:val="default"/>
    <w:sig w:usb0="80000003" w:usb1="00000040" w:usb2="00000000" w:usb3="00000000" w:csb0="00000001" w:csb1="00000000"/>
  </w:font>
  <w:font w:name="Akaash">
    <w:panose1 w:val="02000603000000000000"/>
    <w:charset w:val="00"/>
    <w:family w:val="auto"/>
    <w:pitch w:val="default"/>
    <w:sig w:usb0="80018001" w:usb1="00002000" w:usb2="00000000" w:usb3="00000000" w:csb0="00000001" w:csb1="80000000"/>
  </w:font>
  <w:font w:name="Liberation Sans">
    <w:panose1 w:val="020B0604020202020204"/>
    <w:charset w:val="00"/>
    <w:family w:val="auto"/>
    <w:pitch w:val="default"/>
    <w:sig w:usb0="E0000AFF" w:usb1="500078FF" w:usb2="00000021" w:usb3="00000000" w:csb0="600001BF" w:csb1="DFF70000"/>
  </w:font>
  <w:font w:name="Liberation Sans">
    <w:panose1 w:val="020B0604020202020204"/>
    <w:charset w:val="CC"/>
    <w:family w:val="swiss"/>
    <w:pitch w:val="default"/>
    <w:sig w:usb0="E0000AFF" w:usb1="500078FF" w:usb2="00000021" w:usb3="00000000" w:csb0="600001BF" w:csb1="DFF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rPr>
        <w:rStyle w:val="29"/>
      </w:rPr>
      <w:id w:val="0"/>
      <w:docPartObj>
        <w:docPartGallery w:val="AutoText"/>
      </w:docPartObj>
    </w:sdtPr>
    <w:sdtEndPr>
      <w:rPr>
        <w:rStyle w:val="29"/>
      </w:rPr>
    </w:sdtEndPr>
    <w:sdtContent>
      <w:p>
        <w:pPr>
          <w:pStyle w:val="12"/>
          <w:framePr w:wrap="around" w:vAnchor="text" w:hAnchor="margin" w:xAlign="right" w:y="1"/>
          <w:rPr>
            <w:rStyle w:val="29"/>
          </w:rPr>
        </w:pPr>
        <w:r>
          <w:rPr>
            <w:rStyle w:val="29"/>
          </w:rPr>
          <w:fldChar w:fldCharType="begin"/>
        </w:r>
        <w:r>
          <w:rPr>
            <w:rStyle w:val="29"/>
          </w:rPr>
          <w:instrText xml:space="preserve"> PAGE </w:instrText>
        </w:r>
        <w:r>
          <w:rPr>
            <w:rStyle w:val="29"/>
          </w:rPr>
          <w:fldChar w:fldCharType="separate"/>
        </w:r>
        <w:r>
          <w:rPr>
            <w:rStyle w:val="29"/>
          </w:rPr>
          <w:t>26</w:t>
        </w:r>
        <w:r>
          <w:rPr>
            <w:rStyle w:val="29"/>
          </w:rPr>
          <w:fldChar w:fldCharType="end"/>
        </w:r>
      </w:p>
    </w:sdtContent>
  </w:sdt>
  <w:p>
    <w:pPr>
      <w:pStyle w:val="12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rPr>
        <w:rStyle w:val="29"/>
      </w:rPr>
      <w:id w:val="1095979165"/>
      <w:docPartObj>
        <w:docPartGallery w:val="AutoText"/>
      </w:docPartObj>
    </w:sdtPr>
    <w:sdtEndPr>
      <w:rPr>
        <w:rStyle w:val="29"/>
      </w:rPr>
    </w:sdtEndPr>
    <w:sdtContent>
      <w:p>
        <w:pPr>
          <w:pStyle w:val="12"/>
          <w:framePr w:wrap="around" w:vAnchor="text" w:hAnchor="margin" w:xAlign="right" w:y="1"/>
          <w:rPr>
            <w:rStyle w:val="29"/>
          </w:rPr>
        </w:pPr>
        <w:r>
          <w:rPr>
            <w:rStyle w:val="29"/>
          </w:rPr>
          <w:fldChar w:fldCharType="begin"/>
        </w:r>
        <w:r>
          <w:rPr>
            <w:rStyle w:val="29"/>
          </w:rPr>
          <w:instrText xml:space="preserve"> PAGE </w:instrText>
        </w:r>
        <w:r>
          <w:rPr>
            <w:rStyle w:val="29"/>
          </w:rPr>
          <w:fldChar w:fldCharType="end"/>
        </w:r>
      </w:p>
    </w:sdtContent>
  </w:sdt>
  <w:p>
    <w:pPr>
      <w:pStyle w:val="12"/>
      <w:ind w:right="360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4B4203"/>
    <w:multiLevelType w:val="multilevel"/>
    <w:tmpl w:val="104B4203"/>
    <w:lvl w:ilvl="0" w:tentative="0">
      <w:start w:val="1"/>
      <w:numFmt w:val="bullet"/>
      <w:lvlText w:val=""/>
      <w:lvlJc w:val="left"/>
      <w:pPr>
        <w:tabs>
          <w:tab w:val="left" w:pos="720"/>
        </w:tabs>
        <w:ind w:left="720" w:hanging="360"/>
      </w:pPr>
      <w:rPr>
        <w:rFonts w:hint="default" w:ascii="Wingdings" w:hAnsi="Wingdings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">
    <w:nsid w:val="13C2403C"/>
    <w:multiLevelType w:val="multilevel"/>
    <w:tmpl w:val="13C2403C"/>
    <w:lvl w:ilvl="0" w:tentative="0">
      <w:start w:val="1"/>
      <w:numFmt w:val="bullet"/>
      <w:lvlText w:val=""/>
      <w:lvlJc w:val="left"/>
      <w:pPr>
        <w:tabs>
          <w:tab w:val="left" w:pos="720"/>
        </w:tabs>
        <w:ind w:left="720" w:hanging="360"/>
      </w:pPr>
      <w:rPr>
        <w:rFonts w:hint="default" w:ascii="Wingdings" w:hAnsi="Wingdings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>
    <w:nsid w:val="16FD23F3"/>
    <w:multiLevelType w:val="multilevel"/>
    <w:tmpl w:val="16FD23F3"/>
    <w:lvl w:ilvl="0" w:tentative="0">
      <w:start w:val="1"/>
      <w:numFmt w:val="bullet"/>
      <w:lvlText w:val=""/>
      <w:lvlJc w:val="left"/>
      <w:pPr>
        <w:tabs>
          <w:tab w:val="left" w:pos="720"/>
        </w:tabs>
        <w:ind w:left="720" w:hanging="360"/>
      </w:pPr>
      <w:rPr>
        <w:rFonts w:hint="default" w:ascii="Wingdings" w:hAnsi="Wingdings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3">
    <w:nsid w:val="19674AF1"/>
    <w:multiLevelType w:val="multilevel"/>
    <w:tmpl w:val="19674AF1"/>
    <w:lvl w:ilvl="0" w:tentative="0">
      <w:start w:val="1"/>
      <w:numFmt w:val="decimal"/>
      <w:pStyle w:val="59"/>
      <w:suff w:val="space"/>
      <w:lvlText w:val="%1"/>
      <w:lvlJc w:val="left"/>
      <w:pPr>
        <w:ind w:left="0" w:firstLine="737"/>
      </w:pPr>
      <w:rPr>
        <w:rFonts w:hint="default"/>
      </w:rPr>
    </w:lvl>
    <w:lvl w:ilvl="1" w:tentative="0">
      <w:start w:val="2"/>
      <w:numFmt w:val="decimal"/>
      <w:pStyle w:val="60"/>
      <w:suff w:val="space"/>
      <w:lvlText w:val="%1.%2"/>
      <w:lvlJc w:val="left"/>
      <w:pPr>
        <w:ind w:left="0" w:firstLine="737"/>
      </w:pPr>
      <w:rPr>
        <w:rFonts w:hint="default"/>
      </w:rPr>
    </w:lvl>
    <w:lvl w:ilvl="2" w:tentative="0">
      <w:start w:val="5"/>
      <w:numFmt w:val="decimal"/>
      <w:pStyle w:val="65"/>
      <w:suff w:val="space"/>
      <w:lvlText w:val="%1.%2.%3"/>
      <w:lvlJc w:val="left"/>
      <w:pPr>
        <w:ind w:left="0" w:firstLine="737"/>
      </w:pPr>
      <w:rPr>
        <w:rFonts w:hint="default"/>
        <w:b w:val="0"/>
      </w:rPr>
    </w:lvl>
    <w:lvl w:ilvl="3" w:tentative="0">
      <w:start w:val="1"/>
      <w:numFmt w:val="decimal"/>
      <w:pStyle w:val="62"/>
      <w:suff w:val="space"/>
      <w:lvlText w:val="%1.%2.%3.%4"/>
      <w:lvlJc w:val="left"/>
      <w:pPr>
        <w:ind w:left="0" w:firstLine="737"/>
      </w:pPr>
      <w:rPr>
        <w:rFonts w:hint="default"/>
      </w:rPr>
    </w:lvl>
    <w:lvl w:ilvl="4" w:tentative="0">
      <w:start w:val="1"/>
      <w:numFmt w:val="decimal"/>
      <w:pStyle w:val="61"/>
      <w:suff w:val="space"/>
      <w:lvlText w:val="%1.%2.%3.%4.%5."/>
      <w:lvlJc w:val="left"/>
      <w:pPr>
        <w:ind w:left="0" w:firstLine="737"/>
      </w:pPr>
      <w:rPr>
        <w:rFonts w:hint="default"/>
      </w:rPr>
    </w:lvl>
    <w:lvl w:ilvl="5" w:tentative="0">
      <w:start w:val="1"/>
      <w:numFmt w:val="decimal"/>
      <w:suff w:val="space"/>
      <w:lvlText w:val="%1.%2.%3.%4.%5.%6."/>
      <w:lvlJc w:val="left"/>
      <w:pPr>
        <w:ind w:left="0" w:firstLine="737"/>
      </w:pPr>
      <w:rPr>
        <w:rFonts w:hint="default"/>
      </w:rPr>
    </w:lvl>
    <w:lvl w:ilvl="6" w:tentative="0">
      <w:start w:val="1"/>
      <w:numFmt w:val="decimal"/>
      <w:suff w:val="space"/>
      <w:lvlText w:val="%1.%2.%3.%4.%5.%6.%7."/>
      <w:lvlJc w:val="left"/>
      <w:pPr>
        <w:ind w:left="0" w:firstLine="737"/>
      </w:pPr>
      <w:rPr>
        <w:rFonts w:hint="default"/>
      </w:rPr>
    </w:lvl>
    <w:lvl w:ilvl="7" w:tentative="0">
      <w:start w:val="1"/>
      <w:numFmt w:val="decimal"/>
      <w:suff w:val="space"/>
      <w:lvlText w:val="%1.%2.%3.%4.%5.%6.%7.%8."/>
      <w:lvlJc w:val="left"/>
      <w:pPr>
        <w:ind w:left="0" w:firstLine="737"/>
      </w:pPr>
      <w:rPr>
        <w:rFonts w:hint="default"/>
      </w:rPr>
    </w:lvl>
    <w:lvl w:ilvl="8" w:tentative="0">
      <w:start w:val="1"/>
      <w:numFmt w:val="decimal"/>
      <w:suff w:val="space"/>
      <w:lvlText w:val="%1.%2.%3.%4.%5.%6.%7.%8.%9."/>
      <w:lvlJc w:val="left"/>
      <w:pPr>
        <w:ind w:left="0" w:firstLine="737"/>
      </w:pPr>
      <w:rPr>
        <w:rFonts w:hint="default"/>
      </w:rPr>
    </w:lvl>
  </w:abstractNum>
  <w:abstractNum w:abstractNumId="4">
    <w:nsid w:val="1F606060"/>
    <w:multiLevelType w:val="multilevel"/>
    <w:tmpl w:val="1F606060"/>
    <w:lvl w:ilvl="0" w:tentative="0">
      <w:start w:val="1"/>
      <w:numFmt w:val="bullet"/>
      <w:lvlText w:val=""/>
      <w:lvlJc w:val="left"/>
      <w:pPr>
        <w:tabs>
          <w:tab w:val="left" w:pos="720"/>
        </w:tabs>
        <w:ind w:left="720" w:hanging="360"/>
      </w:pPr>
      <w:rPr>
        <w:rFonts w:hint="default" w:ascii="Wingdings" w:hAnsi="Wingdings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5">
    <w:nsid w:val="227058A3"/>
    <w:multiLevelType w:val="multilevel"/>
    <w:tmpl w:val="227058A3"/>
    <w:lvl w:ilvl="0" w:tentative="0">
      <w:start w:val="1"/>
      <w:numFmt w:val="bullet"/>
      <w:lvlText w:val=""/>
      <w:lvlJc w:val="left"/>
      <w:pPr>
        <w:ind w:left="1287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2007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727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3447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4167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887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607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6327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7047" w:hanging="360"/>
      </w:pPr>
      <w:rPr>
        <w:rFonts w:hint="default" w:ascii="Wingdings" w:hAnsi="Wingdings"/>
      </w:rPr>
    </w:lvl>
  </w:abstractNum>
  <w:abstractNum w:abstractNumId="6">
    <w:nsid w:val="2EEF380A"/>
    <w:multiLevelType w:val="multilevel"/>
    <w:tmpl w:val="2EEF380A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>
    <w:nsid w:val="42004232"/>
    <w:multiLevelType w:val="multilevel"/>
    <w:tmpl w:val="42004232"/>
    <w:lvl w:ilvl="0" w:tentative="0">
      <w:start w:val="1"/>
      <w:numFmt w:val="decimal"/>
      <w:pStyle w:val="57"/>
      <w:lvlText w:val="Рисунок %1"/>
      <w:lvlJc w:val="center"/>
      <w:pPr>
        <w:ind w:left="2807" w:firstLine="454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25C0E7A"/>
    <w:multiLevelType w:val="multilevel"/>
    <w:tmpl w:val="425C0E7A"/>
    <w:lvl w:ilvl="0" w:tentative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entative="0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 w:tentative="0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 w:tentative="0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 w:tentative="0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 w:tentative="0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 w:tentative="0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9">
    <w:nsid w:val="491F5DFF"/>
    <w:multiLevelType w:val="multilevel"/>
    <w:tmpl w:val="491F5DFF"/>
    <w:lvl w:ilvl="0" w:tentative="0">
      <w:start w:val="1"/>
      <w:numFmt w:val="bullet"/>
      <w:lvlText w:val=""/>
      <w:lvlJc w:val="left"/>
      <w:pPr>
        <w:ind w:left="1287" w:hanging="360"/>
      </w:pPr>
      <w:rPr>
        <w:rFonts w:hint="default" w:ascii="Wingdings" w:hAnsi="Wingdings"/>
      </w:rPr>
    </w:lvl>
    <w:lvl w:ilvl="1" w:tentative="0">
      <w:start w:val="1"/>
      <w:numFmt w:val="bullet"/>
      <w:lvlText w:val="o"/>
      <w:lvlJc w:val="left"/>
      <w:pPr>
        <w:ind w:left="2007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727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3447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4167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887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607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6327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7047" w:hanging="360"/>
      </w:pPr>
      <w:rPr>
        <w:rFonts w:hint="default" w:ascii="Wingdings" w:hAnsi="Wingdings"/>
      </w:rPr>
    </w:lvl>
  </w:abstractNum>
  <w:abstractNum w:abstractNumId="10">
    <w:nsid w:val="51CD63E9"/>
    <w:multiLevelType w:val="multilevel"/>
    <w:tmpl w:val="51CD63E9"/>
    <w:lvl w:ilvl="0" w:tentative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AF41ADF"/>
    <w:multiLevelType w:val="multilevel"/>
    <w:tmpl w:val="5AF41ADF"/>
    <w:lvl w:ilvl="0" w:tentative="0">
      <w:start w:val="1"/>
      <w:numFmt w:val="bullet"/>
      <w:lvlText w:val=""/>
      <w:lvlJc w:val="left"/>
      <w:pPr>
        <w:tabs>
          <w:tab w:val="left" w:pos="720"/>
        </w:tabs>
        <w:ind w:left="720" w:hanging="360"/>
      </w:pPr>
      <w:rPr>
        <w:rFonts w:hint="default" w:ascii="Wingdings" w:hAnsi="Wingdings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2">
    <w:nsid w:val="5D10013C"/>
    <w:multiLevelType w:val="multilevel"/>
    <w:tmpl w:val="5D10013C"/>
    <w:lvl w:ilvl="0" w:tentative="0">
      <w:start w:val="1"/>
      <w:numFmt w:val="bullet"/>
      <w:lvlText w:val=""/>
      <w:lvlJc w:val="left"/>
      <w:pPr>
        <w:tabs>
          <w:tab w:val="left" w:pos="720"/>
        </w:tabs>
        <w:ind w:left="720" w:hanging="360"/>
      </w:pPr>
      <w:rPr>
        <w:rFonts w:hint="default" w:ascii="Wingdings" w:hAnsi="Wingdings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3">
    <w:nsid w:val="63BA1C1C"/>
    <w:multiLevelType w:val="multilevel"/>
    <w:tmpl w:val="63BA1C1C"/>
    <w:lvl w:ilvl="0" w:tentative="0">
      <w:start w:val="1"/>
      <w:numFmt w:val="bullet"/>
      <w:pStyle w:val="63"/>
      <w:lvlText w:val=""/>
      <w:lvlJc w:val="left"/>
      <w:pPr>
        <w:tabs>
          <w:tab w:val="left" w:pos="1353"/>
        </w:tabs>
        <w:ind w:left="284" w:firstLine="709"/>
      </w:pPr>
      <w:rPr>
        <w:rFonts w:hint="default" w:ascii="Symbol" w:hAnsi="Symbol" w:cs="Symbol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 w:cs="Wingdings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 w:cs="Symbol"/>
      </w:rPr>
    </w:lvl>
    <w:lvl w:ilvl="4" w:tentative="0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 w:cs="Wingdings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 w:cs="Symbol"/>
      </w:rPr>
    </w:lvl>
    <w:lvl w:ilvl="7" w:tentative="0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 w:cs="Wingdings"/>
      </w:rPr>
    </w:lvl>
  </w:abstractNum>
  <w:abstractNum w:abstractNumId="14">
    <w:nsid w:val="6B572DED"/>
    <w:multiLevelType w:val="multilevel"/>
    <w:tmpl w:val="6B572DED"/>
    <w:lvl w:ilvl="0" w:tentative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 w:tentative="0">
      <w:start w:val="2"/>
      <w:numFmt w:val="decimal"/>
      <w:lvlText w:val="%1.%2"/>
      <w:lvlJc w:val="left"/>
      <w:pPr>
        <w:ind w:left="848" w:hanging="480"/>
      </w:pPr>
      <w:rPr>
        <w:rFonts w:hint="default"/>
      </w:rPr>
    </w:lvl>
    <w:lvl w:ilvl="2" w:tentative="0">
      <w:start w:val="1"/>
      <w:numFmt w:val="decimal"/>
      <w:lvlText w:val="%1.%2.%3"/>
      <w:lvlJc w:val="left"/>
      <w:pPr>
        <w:ind w:left="1456" w:hanging="720"/>
      </w:pPr>
      <w:rPr>
        <w:rFonts w:hint="default"/>
      </w:rPr>
    </w:lvl>
    <w:lvl w:ilvl="3" w:tentative="0">
      <w:start w:val="1"/>
      <w:numFmt w:val="decimal"/>
      <w:lvlText w:val="%1.%2.%3.%4"/>
      <w:lvlJc w:val="left"/>
      <w:pPr>
        <w:ind w:left="1824" w:hanging="720"/>
      </w:pPr>
      <w:rPr>
        <w:rFonts w:hint="default"/>
      </w:rPr>
    </w:lvl>
    <w:lvl w:ilvl="4" w:tentative="0">
      <w:start w:val="1"/>
      <w:numFmt w:val="decimal"/>
      <w:lvlText w:val="%1.%2.%3.%4.%5"/>
      <w:lvlJc w:val="left"/>
      <w:pPr>
        <w:ind w:left="2552" w:hanging="1080"/>
      </w:pPr>
      <w:rPr>
        <w:rFonts w:hint="default"/>
      </w:rPr>
    </w:lvl>
    <w:lvl w:ilvl="5" w:tentative="0">
      <w:start w:val="1"/>
      <w:numFmt w:val="decimal"/>
      <w:lvlText w:val="%1.%2.%3.%4.%5.%6"/>
      <w:lvlJc w:val="left"/>
      <w:pPr>
        <w:ind w:left="2920" w:hanging="1080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ind w:left="3648" w:hanging="1440"/>
      </w:pPr>
      <w:rPr>
        <w:rFonts w:hint="default"/>
      </w:rPr>
    </w:lvl>
    <w:lvl w:ilvl="7" w:tentative="0">
      <w:start w:val="1"/>
      <w:numFmt w:val="decimal"/>
      <w:lvlText w:val="%1.%2.%3.%4.%5.%6.%7.%8"/>
      <w:lvlJc w:val="left"/>
      <w:pPr>
        <w:ind w:left="4016" w:hanging="1440"/>
      </w:pPr>
      <w:rPr>
        <w:rFonts w:hint="default"/>
      </w:rPr>
    </w:lvl>
    <w:lvl w:ilvl="8" w:tentative="0">
      <w:start w:val="1"/>
      <w:numFmt w:val="decimal"/>
      <w:lvlText w:val="%1.%2.%3.%4.%5.%6.%7.%8.%9"/>
      <w:lvlJc w:val="left"/>
      <w:pPr>
        <w:ind w:left="4744" w:hanging="1800"/>
      </w:pPr>
      <w:rPr>
        <w:rFonts w:hint="default"/>
      </w:rPr>
    </w:lvl>
  </w:abstractNum>
  <w:abstractNum w:abstractNumId="15">
    <w:nsid w:val="6D14610D"/>
    <w:multiLevelType w:val="multilevel"/>
    <w:tmpl w:val="6D14610D"/>
    <w:lvl w:ilvl="0" w:tentative="0">
      <w:start w:val="1"/>
      <w:numFmt w:val="bullet"/>
      <w:lvlText w:val=""/>
      <w:lvlJc w:val="left"/>
      <w:pPr>
        <w:tabs>
          <w:tab w:val="left" w:pos="720"/>
        </w:tabs>
        <w:ind w:left="720" w:hanging="360"/>
      </w:pPr>
      <w:rPr>
        <w:rFonts w:hint="default" w:ascii="Wingdings" w:hAnsi="Wingdings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6">
    <w:nsid w:val="724B7139"/>
    <w:multiLevelType w:val="multilevel"/>
    <w:tmpl w:val="724B7139"/>
    <w:lvl w:ilvl="0" w:tentative="0">
      <w:start w:val="1"/>
      <w:numFmt w:val="bullet"/>
      <w:lvlText w:val=""/>
      <w:lvlJc w:val="left"/>
      <w:pPr>
        <w:tabs>
          <w:tab w:val="left" w:pos="720"/>
        </w:tabs>
        <w:ind w:left="720" w:hanging="360"/>
      </w:pPr>
      <w:rPr>
        <w:rFonts w:hint="default" w:ascii="Wingdings" w:hAnsi="Wingdings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7">
    <w:nsid w:val="7663026D"/>
    <w:multiLevelType w:val="multilevel"/>
    <w:tmpl w:val="7663026D"/>
    <w:lvl w:ilvl="0" w:tentative="0">
      <w:start w:val="1"/>
      <w:numFmt w:val="bullet"/>
      <w:lvlText w:val=""/>
      <w:lvlJc w:val="left"/>
      <w:pPr>
        <w:tabs>
          <w:tab w:val="left" w:pos="720"/>
        </w:tabs>
        <w:ind w:left="720" w:hanging="360"/>
      </w:pPr>
      <w:rPr>
        <w:rFonts w:hint="default" w:ascii="Wingdings" w:hAnsi="Wingdings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num w:numId="1">
    <w:abstractNumId w:val="7"/>
  </w:num>
  <w:num w:numId="2">
    <w:abstractNumId w:val="3"/>
  </w:num>
  <w:num w:numId="3">
    <w:abstractNumId w:val="13"/>
  </w:num>
  <w:num w:numId="4">
    <w:abstractNumId w:val="9"/>
  </w:num>
  <w:num w:numId="5">
    <w:abstractNumId w:val="5"/>
  </w:num>
  <w:num w:numId="6">
    <w:abstractNumId w:val="8"/>
  </w:num>
  <w:num w:numId="7">
    <w:abstractNumId w:val="14"/>
  </w:num>
  <w:num w:numId="8">
    <w:abstractNumId w:val="1"/>
  </w:num>
  <w:num w:numId="9">
    <w:abstractNumId w:val="2"/>
  </w:num>
  <w:num w:numId="10">
    <w:abstractNumId w:val="15"/>
  </w:num>
  <w:num w:numId="11">
    <w:abstractNumId w:val="11"/>
  </w:num>
  <w:num w:numId="12">
    <w:abstractNumId w:val="16"/>
  </w:num>
  <w:num w:numId="13">
    <w:abstractNumId w:val="17"/>
  </w:num>
  <w:num w:numId="14">
    <w:abstractNumId w:val="4"/>
  </w:num>
  <w:num w:numId="15">
    <w:abstractNumId w:val="12"/>
  </w:num>
  <w:num w:numId="16">
    <w:abstractNumId w:val="0"/>
  </w:num>
  <w:num w:numId="17">
    <w:abstractNumId w:val="6"/>
  </w:num>
  <w:num w:numId="1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3434"/>
    <w:rsid w:val="00001647"/>
    <w:rsid w:val="000027A7"/>
    <w:rsid w:val="00006348"/>
    <w:rsid w:val="00007B8F"/>
    <w:rsid w:val="000116F1"/>
    <w:rsid w:val="00013A85"/>
    <w:rsid w:val="000140D7"/>
    <w:rsid w:val="000363AC"/>
    <w:rsid w:val="00036DFF"/>
    <w:rsid w:val="000375E0"/>
    <w:rsid w:val="00041C93"/>
    <w:rsid w:val="00042F95"/>
    <w:rsid w:val="00045A3C"/>
    <w:rsid w:val="00045D01"/>
    <w:rsid w:val="00045F21"/>
    <w:rsid w:val="00055993"/>
    <w:rsid w:val="000627DE"/>
    <w:rsid w:val="00062FFC"/>
    <w:rsid w:val="00064C8B"/>
    <w:rsid w:val="000656BD"/>
    <w:rsid w:val="0007459C"/>
    <w:rsid w:val="000765CD"/>
    <w:rsid w:val="00080E2B"/>
    <w:rsid w:val="00082AED"/>
    <w:rsid w:val="00087F39"/>
    <w:rsid w:val="00090B4C"/>
    <w:rsid w:val="00090B9C"/>
    <w:rsid w:val="00092B36"/>
    <w:rsid w:val="000933C2"/>
    <w:rsid w:val="00096F04"/>
    <w:rsid w:val="000973B9"/>
    <w:rsid w:val="000A2D2C"/>
    <w:rsid w:val="000A2FE2"/>
    <w:rsid w:val="000A45B2"/>
    <w:rsid w:val="000A7519"/>
    <w:rsid w:val="000A7927"/>
    <w:rsid w:val="000A7B03"/>
    <w:rsid w:val="000B11E5"/>
    <w:rsid w:val="000B142C"/>
    <w:rsid w:val="000C0908"/>
    <w:rsid w:val="000C3DD1"/>
    <w:rsid w:val="000C5FCF"/>
    <w:rsid w:val="000C6815"/>
    <w:rsid w:val="000D35A6"/>
    <w:rsid w:val="000D3AB3"/>
    <w:rsid w:val="000D43D0"/>
    <w:rsid w:val="000D45F7"/>
    <w:rsid w:val="000E1CE4"/>
    <w:rsid w:val="000E2640"/>
    <w:rsid w:val="000E7A91"/>
    <w:rsid w:val="000F0114"/>
    <w:rsid w:val="000F222F"/>
    <w:rsid w:val="000F4369"/>
    <w:rsid w:val="000F4F79"/>
    <w:rsid w:val="000F6790"/>
    <w:rsid w:val="000F731B"/>
    <w:rsid w:val="000F777F"/>
    <w:rsid w:val="001150A4"/>
    <w:rsid w:val="0011527B"/>
    <w:rsid w:val="001170D8"/>
    <w:rsid w:val="00117F85"/>
    <w:rsid w:val="00117F8C"/>
    <w:rsid w:val="00126DFF"/>
    <w:rsid w:val="0012778F"/>
    <w:rsid w:val="00133DA0"/>
    <w:rsid w:val="00137FF7"/>
    <w:rsid w:val="001507BC"/>
    <w:rsid w:val="00151120"/>
    <w:rsid w:val="001519D8"/>
    <w:rsid w:val="00152E44"/>
    <w:rsid w:val="00153DE0"/>
    <w:rsid w:val="001644C3"/>
    <w:rsid w:val="0017082F"/>
    <w:rsid w:val="00172291"/>
    <w:rsid w:val="00172EC1"/>
    <w:rsid w:val="00174DEA"/>
    <w:rsid w:val="00175B0D"/>
    <w:rsid w:val="00187089"/>
    <w:rsid w:val="0019170B"/>
    <w:rsid w:val="00192349"/>
    <w:rsid w:val="001941A8"/>
    <w:rsid w:val="00194521"/>
    <w:rsid w:val="001A5A39"/>
    <w:rsid w:val="001B0387"/>
    <w:rsid w:val="001B1AD2"/>
    <w:rsid w:val="001B4803"/>
    <w:rsid w:val="001B7DE2"/>
    <w:rsid w:val="001C0181"/>
    <w:rsid w:val="001C2F66"/>
    <w:rsid w:val="001C3C99"/>
    <w:rsid w:val="001E0173"/>
    <w:rsid w:val="001E0CA0"/>
    <w:rsid w:val="001E275C"/>
    <w:rsid w:val="001E4E2D"/>
    <w:rsid w:val="001F0B4D"/>
    <w:rsid w:val="001F3DBC"/>
    <w:rsid w:val="001F7812"/>
    <w:rsid w:val="00202143"/>
    <w:rsid w:val="00203E48"/>
    <w:rsid w:val="002043FC"/>
    <w:rsid w:val="0020596B"/>
    <w:rsid w:val="0020740C"/>
    <w:rsid w:val="00215D68"/>
    <w:rsid w:val="00216430"/>
    <w:rsid w:val="002247A5"/>
    <w:rsid w:val="0022700C"/>
    <w:rsid w:val="002270CB"/>
    <w:rsid w:val="002327CB"/>
    <w:rsid w:val="002332F9"/>
    <w:rsid w:val="002342E5"/>
    <w:rsid w:val="00237D63"/>
    <w:rsid w:val="002414D4"/>
    <w:rsid w:val="00241E41"/>
    <w:rsid w:val="00247A56"/>
    <w:rsid w:val="0025046C"/>
    <w:rsid w:val="002524A9"/>
    <w:rsid w:val="00252F2E"/>
    <w:rsid w:val="0025529D"/>
    <w:rsid w:val="002557C6"/>
    <w:rsid w:val="00262B58"/>
    <w:rsid w:val="0027440B"/>
    <w:rsid w:val="00275072"/>
    <w:rsid w:val="002800EE"/>
    <w:rsid w:val="00281D2E"/>
    <w:rsid w:val="002821B7"/>
    <w:rsid w:val="00283B0B"/>
    <w:rsid w:val="00290CC0"/>
    <w:rsid w:val="00290D47"/>
    <w:rsid w:val="00297D35"/>
    <w:rsid w:val="002A139A"/>
    <w:rsid w:val="002A6351"/>
    <w:rsid w:val="002A6580"/>
    <w:rsid w:val="002A73C8"/>
    <w:rsid w:val="002B7789"/>
    <w:rsid w:val="002C1863"/>
    <w:rsid w:val="002C5B67"/>
    <w:rsid w:val="002D0402"/>
    <w:rsid w:val="002D19B6"/>
    <w:rsid w:val="002D308C"/>
    <w:rsid w:val="002D7279"/>
    <w:rsid w:val="002D7D32"/>
    <w:rsid w:val="002E5CF7"/>
    <w:rsid w:val="002F5B45"/>
    <w:rsid w:val="00301090"/>
    <w:rsid w:val="00302FEC"/>
    <w:rsid w:val="003040B9"/>
    <w:rsid w:val="00325536"/>
    <w:rsid w:val="003310E1"/>
    <w:rsid w:val="0033595C"/>
    <w:rsid w:val="00336B19"/>
    <w:rsid w:val="003370FE"/>
    <w:rsid w:val="003400C1"/>
    <w:rsid w:val="00345EFE"/>
    <w:rsid w:val="003534C0"/>
    <w:rsid w:val="00354180"/>
    <w:rsid w:val="00354E26"/>
    <w:rsid w:val="00361C76"/>
    <w:rsid w:val="0036294B"/>
    <w:rsid w:val="00365851"/>
    <w:rsid w:val="00365D03"/>
    <w:rsid w:val="00372A4B"/>
    <w:rsid w:val="00382C5D"/>
    <w:rsid w:val="00382C8E"/>
    <w:rsid w:val="003869C0"/>
    <w:rsid w:val="00387159"/>
    <w:rsid w:val="0039628C"/>
    <w:rsid w:val="003A1BE8"/>
    <w:rsid w:val="003A1F06"/>
    <w:rsid w:val="003A453A"/>
    <w:rsid w:val="003A54E1"/>
    <w:rsid w:val="003A6F9C"/>
    <w:rsid w:val="003B5FC2"/>
    <w:rsid w:val="003B75BA"/>
    <w:rsid w:val="003C3F4C"/>
    <w:rsid w:val="003D73A7"/>
    <w:rsid w:val="003E535D"/>
    <w:rsid w:val="003F034A"/>
    <w:rsid w:val="003F43E2"/>
    <w:rsid w:val="00401DEA"/>
    <w:rsid w:val="00402900"/>
    <w:rsid w:val="0040578F"/>
    <w:rsid w:val="00405A10"/>
    <w:rsid w:val="004066FF"/>
    <w:rsid w:val="00407493"/>
    <w:rsid w:val="004135C4"/>
    <w:rsid w:val="00416070"/>
    <w:rsid w:val="00416844"/>
    <w:rsid w:val="004210F6"/>
    <w:rsid w:val="00423EE2"/>
    <w:rsid w:val="0042520A"/>
    <w:rsid w:val="00446EF7"/>
    <w:rsid w:val="004532C2"/>
    <w:rsid w:val="004570F5"/>
    <w:rsid w:val="004641A3"/>
    <w:rsid w:val="00465DC5"/>
    <w:rsid w:val="004660B1"/>
    <w:rsid w:val="0046708D"/>
    <w:rsid w:val="00467FEB"/>
    <w:rsid w:val="00471D79"/>
    <w:rsid w:val="00474C24"/>
    <w:rsid w:val="00493439"/>
    <w:rsid w:val="00496EC8"/>
    <w:rsid w:val="004A131B"/>
    <w:rsid w:val="004A1DBC"/>
    <w:rsid w:val="004A40EE"/>
    <w:rsid w:val="004B1B3F"/>
    <w:rsid w:val="004B3FA1"/>
    <w:rsid w:val="004B6B08"/>
    <w:rsid w:val="004B7AF7"/>
    <w:rsid w:val="004C0DFC"/>
    <w:rsid w:val="004C3B73"/>
    <w:rsid w:val="004C72FF"/>
    <w:rsid w:val="004D7969"/>
    <w:rsid w:val="004E0CFC"/>
    <w:rsid w:val="004E0F94"/>
    <w:rsid w:val="004E1AF5"/>
    <w:rsid w:val="004E1B22"/>
    <w:rsid w:val="004E1B40"/>
    <w:rsid w:val="004E3647"/>
    <w:rsid w:val="004E4556"/>
    <w:rsid w:val="004E4EF6"/>
    <w:rsid w:val="004E72CA"/>
    <w:rsid w:val="004F3A47"/>
    <w:rsid w:val="004F6AF6"/>
    <w:rsid w:val="00503257"/>
    <w:rsid w:val="005067F6"/>
    <w:rsid w:val="00513E5D"/>
    <w:rsid w:val="00525D0B"/>
    <w:rsid w:val="0053219D"/>
    <w:rsid w:val="00535ACB"/>
    <w:rsid w:val="00536051"/>
    <w:rsid w:val="00542F60"/>
    <w:rsid w:val="00543671"/>
    <w:rsid w:val="005460EB"/>
    <w:rsid w:val="005474D7"/>
    <w:rsid w:val="00550F63"/>
    <w:rsid w:val="00556787"/>
    <w:rsid w:val="00560894"/>
    <w:rsid w:val="00565E86"/>
    <w:rsid w:val="005670F5"/>
    <w:rsid w:val="005673FB"/>
    <w:rsid w:val="005734DB"/>
    <w:rsid w:val="00573C7E"/>
    <w:rsid w:val="00575C39"/>
    <w:rsid w:val="00576B77"/>
    <w:rsid w:val="005813CF"/>
    <w:rsid w:val="005857F7"/>
    <w:rsid w:val="00585D51"/>
    <w:rsid w:val="005904C2"/>
    <w:rsid w:val="005917A2"/>
    <w:rsid w:val="00596F37"/>
    <w:rsid w:val="005A2CB0"/>
    <w:rsid w:val="005B27B7"/>
    <w:rsid w:val="005B4181"/>
    <w:rsid w:val="005C0579"/>
    <w:rsid w:val="005C1164"/>
    <w:rsid w:val="005C444C"/>
    <w:rsid w:val="005C7B1E"/>
    <w:rsid w:val="005C7DDC"/>
    <w:rsid w:val="005D17CF"/>
    <w:rsid w:val="005D2FC4"/>
    <w:rsid w:val="005D4ED4"/>
    <w:rsid w:val="005E0013"/>
    <w:rsid w:val="005E44CA"/>
    <w:rsid w:val="005E6B82"/>
    <w:rsid w:val="005F417E"/>
    <w:rsid w:val="00602DCF"/>
    <w:rsid w:val="006055B5"/>
    <w:rsid w:val="006076CE"/>
    <w:rsid w:val="00612493"/>
    <w:rsid w:val="006167DC"/>
    <w:rsid w:val="00620362"/>
    <w:rsid w:val="00631C24"/>
    <w:rsid w:val="00637135"/>
    <w:rsid w:val="00647D72"/>
    <w:rsid w:val="006507D4"/>
    <w:rsid w:val="00651891"/>
    <w:rsid w:val="00654E05"/>
    <w:rsid w:val="0065718D"/>
    <w:rsid w:val="00657EDC"/>
    <w:rsid w:val="00664421"/>
    <w:rsid w:val="00666DAC"/>
    <w:rsid w:val="006709DD"/>
    <w:rsid w:val="0067633F"/>
    <w:rsid w:val="00676363"/>
    <w:rsid w:val="00676C8B"/>
    <w:rsid w:val="006823BA"/>
    <w:rsid w:val="00683AEC"/>
    <w:rsid w:val="006904E9"/>
    <w:rsid w:val="0069524A"/>
    <w:rsid w:val="00697576"/>
    <w:rsid w:val="006A0C9F"/>
    <w:rsid w:val="006A4D46"/>
    <w:rsid w:val="006A5E60"/>
    <w:rsid w:val="006A75C9"/>
    <w:rsid w:val="006A76B7"/>
    <w:rsid w:val="006B3931"/>
    <w:rsid w:val="006B4580"/>
    <w:rsid w:val="006B68E2"/>
    <w:rsid w:val="006C0627"/>
    <w:rsid w:val="006C3434"/>
    <w:rsid w:val="006C4D62"/>
    <w:rsid w:val="006C5F70"/>
    <w:rsid w:val="006C6BA6"/>
    <w:rsid w:val="006D2221"/>
    <w:rsid w:val="006D2686"/>
    <w:rsid w:val="006D57AF"/>
    <w:rsid w:val="006E300A"/>
    <w:rsid w:val="006E6CDC"/>
    <w:rsid w:val="006E7329"/>
    <w:rsid w:val="006F10A8"/>
    <w:rsid w:val="006F1AE1"/>
    <w:rsid w:val="006F4DC1"/>
    <w:rsid w:val="006F4F1A"/>
    <w:rsid w:val="00703256"/>
    <w:rsid w:val="007201A8"/>
    <w:rsid w:val="0072056D"/>
    <w:rsid w:val="0073605F"/>
    <w:rsid w:val="00740266"/>
    <w:rsid w:val="00745F13"/>
    <w:rsid w:val="0074691B"/>
    <w:rsid w:val="0075050A"/>
    <w:rsid w:val="0076185B"/>
    <w:rsid w:val="0077038F"/>
    <w:rsid w:val="00770661"/>
    <w:rsid w:val="0077211B"/>
    <w:rsid w:val="007809E3"/>
    <w:rsid w:val="00780CF9"/>
    <w:rsid w:val="00790B13"/>
    <w:rsid w:val="00791C53"/>
    <w:rsid w:val="00791ECD"/>
    <w:rsid w:val="00793C12"/>
    <w:rsid w:val="00793D64"/>
    <w:rsid w:val="00793FC4"/>
    <w:rsid w:val="007A327F"/>
    <w:rsid w:val="007A59D5"/>
    <w:rsid w:val="007B0306"/>
    <w:rsid w:val="007B4B90"/>
    <w:rsid w:val="007B6614"/>
    <w:rsid w:val="007C22A7"/>
    <w:rsid w:val="007C672F"/>
    <w:rsid w:val="007C7C11"/>
    <w:rsid w:val="007D50E0"/>
    <w:rsid w:val="007E2188"/>
    <w:rsid w:val="007E48D9"/>
    <w:rsid w:val="007E63E6"/>
    <w:rsid w:val="007E744B"/>
    <w:rsid w:val="007F38A7"/>
    <w:rsid w:val="007F7DFE"/>
    <w:rsid w:val="00820D7F"/>
    <w:rsid w:val="00825F6F"/>
    <w:rsid w:val="00845BA2"/>
    <w:rsid w:val="00846026"/>
    <w:rsid w:val="00847E5E"/>
    <w:rsid w:val="00852BF5"/>
    <w:rsid w:val="00854775"/>
    <w:rsid w:val="008547EF"/>
    <w:rsid w:val="00856D52"/>
    <w:rsid w:val="00860244"/>
    <w:rsid w:val="00872C6C"/>
    <w:rsid w:val="00876593"/>
    <w:rsid w:val="00881989"/>
    <w:rsid w:val="00891FB1"/>
    <w:rsid w:val="0089307B"/>
    <w:rsid w:val="00893118"/>
    <w:rsid w:val="008B2705"/>
    <w:rsid w:val="008B39F3"/>
    <w:rsid w:val="008B480E"/>
    <w:rsid w:val="008B486D"/>
    <w:rsid w:val="008B6B9B"/>
    <w:rsid w:val="008C2744"/>
    <w:rsid w:val="008C427F"/>
    <w:rsid w:val="008C4A2B"/>
    <w:rsid w:val="008C5DCC"/>
    <w:rsid w:val="008C6E71"/>
    <w:rsid w:val="008D14AD"/>
    <w:rsid w:val="008D2CD8"/>
    <w:rsid w:val="008E1376"/>
    <w:rsid w:val="008E2F10"/>
    <w:rsid w:val="008E59C1"/>
    <w:rsid w:val="008E6F90"/>
    <w:rsid w:val="00901491"/>
    <w:rsid w:val="00901735"/>
    <w:rsid w:val="009128E7"/>
    <w:rsid w:val="0094277A"/>
    <w:rsid w:val="009436A6"/>
    <w:rsid w:val="00944CA6"/>
    <w:rsid w:val="00945674"/>
    <w:rsid w:val="00946DE1"/>
    <w:rsid w:val="0095042C"/>
    <w:rsid w:val="00957779"/>
    <w:rsid w:val="009614BD"/>
    <w:rsid w:val="00962846"/>
    <w:rsid w:val="0096374D"/>
    <w:rsid w:val="00964EBC"/>
    <w:rsid w:val="00971B56"/>
    <w:rsid w:val="0097366D"/>
    <w:rsid w:val="00974E3F"/>
    <w:rsid w:val="0098274D"/>
    <w:rsid w:val="0098421B"/>
    <w:rsid w:val="0098516F"/>
    <w:rsid w:val="00987CC8"/>
    <w:rsid w:val="00990F09"/>
    <w:rsid w:val="0099170F"/>
    <w:rsid w:val="009923DA"/>
    <w:rsid w:val="009958D7"/>
    <w:rsid w:val="00996B23"/>
    <w:rsid w:val="0099734F"/>
    <w:rsid w:val="009A00DC"/>
    <w:rsid w:val="009B2EC3"/>
    <w:rsid w:val="009B3232"/>
    <w:rsid w:val="009B3933"/>
    <w:rsid w:val="009C04DF"/>
    <w:rsid w:val="009C200B"/>
    <w:rsid w:val="009D594B"/>
    <w:rsid w:val="009D6EA1"/>
    <w:rsid w:val="009F0128"/>
    <w:rsid w:val="009F0311"/>
    <w:rsid w:val="009F1455"/>
    <w:rsid w:val="00A0026A"/>
    <w:rsid w:val="00A01CAA"/>
    <w:rsid w:val="00A02041"/>
    <w:rsid w:val="00A0459D"/>
    <w:rsid w:val="00A058B9"/>
    <w:rsid w:val="00A10778"/>
    <w:rsid w:val="00A1222F"/>
    <w:rsid w:val="00A14D4D"/>
    <w:rsid w:val="00A22FEB"/>
    <w:rsid w:val="00A23A12"/>
    <w:rsid w:val="00A27720"/>
    <w:rsid w:val="00A27E40"/>
    <w:rsid w:val="00A35995"/>
    <w:rsid w:val="00A36920"/>
    <w:rsid w:val="00A415A6"/>
    <w:rsid w:val="00A4351E"/>
    <w:rsid w:val="00A454C4"/>
    <w:rsid w:val="00A45D0C"/>
    <w:rsid w:val="00A46DCC"/>
    <w:rsid w:val="00A73C8A"/>
    <w:rsid w:val="00A754B3"/>
    <w:rsid w:val="00A75558"/>
    <w:rsid w:val="00A77DC6"/>
    <w:rsid w:val="00A836A6"/>
    <w:rsid w:val="00A86ACC"/>
    <w:rsid w:val="00AA2CAC"/>
    <w:rsid w:val="00AA384D"/>
    <w:rsid w:val="00AA4454"/>
    <w:rsid w:val="00AA5D2C"/>
    <w:rsid w:val="00AA6D65"/>
    <w:rsid w:val="00AB029F"/>
    <w:rsid w:val="00AB1C54"/>
    <w:rsid w:val="00AB4A32"/>
    <w:rsid w:val="00AB76BE"/>
    <w:rsid w:val="00AC0A08"/>
    <w:rsid w:val="00AC1CB8"/>
    <w:rsid w:val="00AC278D"/>
    <w:rsid w:val="00AC3C54"/>
    <w:rsid w:val="00AC6D9A"/>
    <w:rsid w:val="00AC6E98"/>
    <w:rsid w:val="00AD040A"/>
    <w:rsid w:val="00AD2179"/>
    <w:rsid w:val="00AD5A2D"/>
    <w:rsid w:val="00AD62AA"/>
    <w:rsid w:val="00AE4104"/>
    <w:rsid w:val="00AF1B58"/>
    <w:rsid w:val="00AF1CAE"/>
    <w:rsid w:val="00AF2EA3"/>
    <w:rsid w:val="00AF4284"/>
    <w:rsid w:val="00AF5FBA"/>
    <w:rsid w:val="00B00478"/>
    <w:rsid w:val="00B03355"/>
    <w:rsid w:val="00B03D19"/>
    <w:rsid w:val="00B04609"/>
    <w:rsid w:val="00B04FCF"/>
    <w:rsid w:val="00B10D81"/>
    <w:rsid w:val="00B1257C"/>
    <w:rsid w:val="00B13448"/>
    <w:rsid w:val="00B16835"/>
    <w:rsid w:val="00B226FD"/>
    <w:rsid w:val="00B2365F"/>
    <w:rsid w:val="00B25D17"/>
    <w:rsid w:val="00B25F96"/>
    <w:rsid w:val="00B3489C"/>
    <w:rsid w:val="00B35D01"/>
    <w:rsid w:val="00B3658D"/>
    <w:rsid w:val="00B369EE"/>
    <w:rsid w:val="00B373DB"/>
    <w:rsid w:val="00B4123E"/>
    <w:rsid w:val="00B51FB8"/>
    <w:rsid w:val="00B52240"/>
    <w:rsid w:val="00B75F81"/>
    <w:rsid w:val="00B76536"/>
    <w:rsid w:val="00B77D9E"/>
    <w:rsid w:val="00B80413"/>
    <w:rsid w:val="00B80931"/>
    <w:rsid w:val="00B80E69"/>
    <w:rsid w:val="00B81369"/>
    <w:rsid w:val="00B86867"/>
    <w:rsid w:val="00B8704E"/>
    <w:rsid w:val="00B877C4"/>
    <w:rsid w:val="00B9706B"/>
    <w:rsid w:val="00B97B0A"/>
    <w:rsid w:val="00BA1F44"/>
    <w:rsid w:val="00BA3405"/>
    <w:rsid w:val="00BB0491"/>
    <w:rsid w:val="00BB40DF"/>
    <w:rsid w:val="00BB73E0"/>
    <w:rsid w:val="00BC4316"/>
    <w:rsid w:val="00BC702E"/>
    <w:rsid w:val="00BD0A93"/>
    <w:rsid w:val="00BD7399"/>
    <w:rsid w:val="00BD7766"/>
    <w:rsid w:val="00BE4450"/>
    <w:rsid w:val="00BE5149"/>
    <w:rsid w:val="00BE5F0B"/>
    <w:rsid w:val="00BE68BC"/>
    <w:rsid w:val="00BF6BC2"/>
    <w:rsid w:val="00C044BC"/>
    <w:rsid w:val="00C13AB9"/>
    <w:rsid w:val="00C15070"/>
    <w:rsid w:val="00C215C4"/>
    <w:rsid w:val="00C22903"/>
    <w:rsid w:val="00C36622"/>
    <w:rsid w:val="00C37222"/>
    <w:rsid w:val="00C40D72"/>
    <w:rsid w:val="00C41F4C"/>
    <w:rsid w:val="00C528D1"/>
    <w:rsid w:val="00C54A81"/>
    <w:rsid w:val="00C54D4D"/>
    <w:rsid w:val="00C55ACF"/>
    <w:rsid w:val="00C56496"/>
    <w:rsid w:val="00C5746C"/>
    <w:rsid w:val="00C57650"/>
    <w:rsid w:val="00C57C47"/>
    <w:rsid w:val="00C6427F"/>
    <w:rsid w:val="00C76E20"/>
    <w:rsid w:val="00C81140"/>
    <w:rsid w:val="00C811A0"/>
    <w:rsid w:val="00C83891"/>
    <w:rsid w:val="00C85E7D"/>
    <w:rsid w:val="00C863CE"/>
    <w:rsid w:val="00C91DE6"/>
    <w:rsid w:val="00C93EEE"/>
    <w:rsid w:val="00CA4A8D"/>
    <w:rsid w:val="00CB1136"/>
    <w:rsid w:val="00CB3FF5"/>
    <w:rsid w:val="00CC0801"/>
    <w:rsid w:val="00CC10B7"/>
    <w:rsid w:val="00CC12EC"/>
    <w:rsid w:val="00CC4551"/>
    <w:rsid w:val="00CD2E05"/>
    <w:rsid w:val="00CE2CB7"/>
    <w:rsid w:val="00CE3DFB"/>
    <w:rsid w:val="00CE6597"/>
    <w:rsid w:val="00CE747A"/>
    <w:rsid w:val="00CF0C35"/>
    <w:rsid w:val="00CF6459"/>
    <w:rsid w:val="00D0038E"/>
    <w:rsid w:val="00D0192E"/>
    <w:rsid w:val="00D12316"/>
    <w:rsid w:val="00D219CD"/>
    <w:rsid w:val="00D263FB"/>
    <w:rsid w:val="00D26ADD"/>
    <w:rsid w:val="00D26D3D"/>
    <w:rsid w:val="00D30CC2"/>
    <w:rsid w:val="00D4155A"/>
    <w:rsid w:val="00D424BF"/>
    <w:rsid w:val="00D433F1"/>
    <w:rsid w:val="00D52778"/>
    <w:rsid w:val="00D53352"/>
    <w:rsid w:val="00D53A91"/>
    <w:rsid w:val="00D64FF6"/>
    <w:rsid w:val="00D67EDF"/>
    <w:rsid w:val="00D7468B"/>
    <w:rsid w:val="00D75716"/>
    <w:rsid w:val="00D80156"/>
    <w:rsid w:val="00D911B0"/>
    <w:rsid w:val="00D91740"/>
    <w:rsid w:val="00DA69DD"/>
    <w:rsid w:val="00DC45EC"/>
    <w:rsid w:val="00DC5FB9"/>
    <w:rsid w:val="00DD0248"/>
    <w:rsid w:val="00DD061A"/>
    <w:rsid w:val="00DD27F8"/>
    <w:rsid w:val="00DD3705"/>
    <w:rsid w:val="00DD556E"/>
    <w:rsid w:val="00DE0BF5"/>
    <w:rsid w:val="00DE4FAF"/>
    <w:rsid w:val="00DE6973"/>
    <w:rsid w:val="00DE6C42"/>
    <w:rsid w:val="00DF0999"/>
    <w:rsid w:val="00DF1116"/>
    <w:rsid w:val="00DF16DD"/>
    <w:rsid w:val="00DF3FD1"/>
    <w:rsid w:val="00DF4B93"/>
    <w:rsid w:val="00DF6784"/>
    <w:rsid w:val="00E0115F"/>
    <w:rsid w:val="00E0135E"/>
    <w:rsid w:val="00E04A33"/>
    <w:rsid w:val="00E17FE4"/>
    <w:rsid w:val="00E2385E"/>
    <w:rsid w:val="00E23FCC"/>
    <w:rsid w:val="00E24C2A"/>
    <w:rsid w:val="00E270EC"/>
    <w:rsid w:val="00E41FB3"/>
    <w:rsid w:val="00E4271E"/>
    <w:rsid w:val="00E43BFE"/>
    <w:rsid w:val="00E50BFA"/>
    <w:rsid w:val="00E518D6"/>
    <w:rsid w:val="00E52D5E"/>
    <w:rsid w:val="00E539E4"/>
    <w:rsid w:val="00E55C8C"/>
    <w:rsid w:val="00E55E3E"/>
    <w:rsid w:val="00E60424"/>
    <w:rsid w:val="00E71028"/>
    <w:rsid w:val="00E719B2"/>
    <w:rsid w:val="00E742CF"/>
    <w:rsid w:val="00E770A1"/>
    <w:rsid w:val="00E8106A"/>
    <w:rsid w:val="00E8517D"/>
    <w:rsid w:val="00E87F2B"/>
    <w:rsid w:val="00E90B55"/>
    <w:rsid w:val="00E96B34"/>
    <w:rsid w:val="00EA218E"/>
    <w:rsid w:val="00EA267B"/>
    <w:rsid w:val="00EA2720"/>
    <w:rsid w:val="00EB5552"/>
    <w:rsid w:val="00EB7231"/>
    <w:rsid w:val="00EC0097"/>
    <w:rsid w:val="00EC083C"/>
    <w:rsid w:val="00EC137B"/>
    <w:rsid w:val="00EC179B"/>
    <w:rsid w:val="00EC28A2"/>
    <w:rsid w:val="00EC3C3D"/>
    <w:rsid w:val="00EC4066"/>
    <w:rsid w:val="00EF1BF4"/>
    <w:rsid w:val="00EF2596"/>
    <w:rsid w:val="00EF5B3D"/>
    <w:rsid w:val="00EF7A5E"/>
    <w:rsid w:val="00F009B3"/>
    <w:rsid w:val="00F00C37"/>
    <w:rsid w:val="00F15E65"/>
    <w:rsid w:val="00F24810"/>
    <w:rsid w:val="00F2630F"/>
    <w:rsid w:val="00F26E2D"/>
    <w:rsid w:val="00F3023C"/>
    <w:rsid w:val="00F40DD2"/>
    <w:rsid w:val="00F420EC"/>
    <w:rsid w:val="00F42F8F"/>
    <w:rsid w:val="00F4688C"/>
    <w:rsid w:val="00F506D5"/>
    <w:rsid w:val="00F54269"/>
    <w:rsid w:val="00F611F6"/>
    <w:rsid w:val="00F65E74"/>
    <w:rsid w:val="00F67672"/>
    <w:rsid w:val="00F86626"/>
    <w:rsid w:val="00F93AAD"/>
    <w:rsid w:val="00F97E41"/>
    <w:rsid w:val="00FA25E0"/>
    <w:rsid w:val="00FA49AA"/>
    <w:rsid w:val="00FA70B8"/>
    <w:rsid w:val="00FA728E"/>
    <w:rsid w:val="00FB76CE"/>
    <w:rsid w:val="00FC453D"/>
    <w:rsid w:val="00FC5F0A"/>
    <w:rsid w:val="00FD2AA4"/>
    <w:rsid w:val="00FD42B7"/>
    <w:rsid w:val="00FD4BE8"/>
    <w:rsid w:val="00FD65E7"/>
    <w:rsid w:val="00FD7B27"/>
    <w:rsid w:val="00FE076D"/>
    <w:rsid w:val="00FE1270"/>
    <w:rsid w:val="00FF3311"/>
    <w:rsid w:val="00FF4BB8"/>
    <w:rsid w:val="00FF4E78"/>
    <w:rsid w:val="00FF6B62"/>
    <w:rsid w:val="00FF702D"/>
    <w:rsid w:val="00FF73C7"/>
    <w:rsid w:val="2B7EBE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semiHidden="0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uppressAutoHyphens/>
      <w:spacing w:line="360" w:lineRule="auto"/>
      <w:jc w:val="both"/>
    </w:pPr>
    <w:rPr>
      <w:rFonts w:ascii="Times New Roman" w:hAnsi="Times New Roman" w:eastAsia="Times New Roman" w:cs="Times New Roman"/>
      <w:sz w:val="24"/>
      <w:szCs w:val="24"/>
      <w:lang w:val="ru-RU" w:eastAsia="ru-RU" w:bidi="ar-SA"/>
    </w:rPr>
  </w:style>
  <w:style w:type="paragraph" w:styleId="2">
    <w:name w:val="heading 1"/>
    <w:basedOn w:val="1"/>
    <w:next w:val="1"/>
    <w:link w:val="38"/>
    <w:qFormat/>
    <w:uiPriority w:val="9"/>
    <w:pPr>
      <w:keepNext/>
      <w:keepLines/>
      <w:spacing w:before="240"/>
      <w:outlineLvl w:val="0"/>
    </w:pPr>
    <w:rPr>
      <w:rFonts w:asciiTheme="majorHAnsi" w:hAnsiTheme="majorHAnsi" w:eastAsiaTheme="majorEastAsia" w:cstheme="majorBidi"/>
      <w:color w:val="2F5597" w:themeColor="accent1" w:themeShade="BF"/>
      <w:sz w:val="32"/>
      <w:szCs w:val="32"/>
    </w:rPr>
  </w:style>
  <w:style w:type="paragraph" w:styleId="3">
    <w:name w:val="heading 2"/>
    <w:basedOn w:val="1"/>
    <w:next w:val="1"/>
    <w:link w:val="40"/>
    <w:unhideWhenUsed/>
    <w:qFormat/>
    <w:uiPriority w:val="9"/>
    <w:pPr>
      <w:keepNext/>
      <w:keepLines/>
      <w:jc w:val="center"/>
      <w:outlineLvl w:val="1"/>
    </w:pPr>
    <w:rPr>
      <w:rFonts w:eastAsiaTheme="majorEastAsia" w:cstheme="majorBidi"/>
      <w:b/>
      <w:szCs w:val="26"/>
    </w:rPr>
  </w:style>
  <w:style w:type="paragraph" w:styleId="4">
    <w:name w:val="heading 3"/>
    <w:basedOn w:val="1"/>
    <w:next w:val="1"/>
    <w:link w:val="41"/>
    <w:unhideWhenUsed/>
    <w:qFormat/>
    <w:uiPriority w:val="9"/>
    <w:pPr>
      <w:keepNext/>
      <w:keepLines/>
      <w:spacing w:before="40"/>
      <w:outlineLvl w:val="2"/>
    </w:pPr>
    <w:rPr>
      <w:rFonts w:asciiTheme="majorHAnsi" w:hAnsiTheme="majorHAnsi" w:eastAsiaTheme="majorEastAsia" w:cstheme="majorBidi"/>
      <w:color w:val="203864" w:themeColor="accent1" w:themeShade="80"/>
    </w:rPr>
  </w:style>
  <w:style w:type="paragraph" w:styleId="5">
    <w:name w:val="heading 4"/>
    <w:basedOn w:val="1"/>
    <w:next w:val="1"/>
    <w:link w:val="71"/>
    <w:semiHidden/>
    <w:unhideWhenUsed/>
    <w:qFormat/>
    <w:uiPriority w:val="9"/>
    <w:pPr>
      <w:keepNext/>
      <w:keepLines/>
      <w:spacing w:before="40"/>
      <w:outlineLvl w:val="3"/>
    </w:pPr>
    <w:rPr>
      <w:rFonts w:asciiTheme="majorHAnsi" w:hAnsiTheme="majorHAnsi" w:eastAsiaTheme="majorEastAsia" w:cstheme="majorBidi"/>
      <w:i/>
      <w:iCs/>
      <w:color w:val="2F5597" w:themeColor="accent1" w:themeShade="BF"/>
    </w:rPr>
  </w:style>
  <w:style w:type="character" w:default="1" w:styleId="24">
    <w:name w:val="Default Paragraph Font"/>
    <w:unhideWhenUsed/>
    <w:uiPriority w:val="1"/>
  </w:style>
  <w:style w:type="table" w:default="1" w:styleId="31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alloon Text"/>
    <w:basedOn w:val="1"/>
    <w:link w:val="44"/>
    <w:semiHidden/>
    <w:unhideWhenUsed/>
    <w:uiPriority w:val="99"/>
    <w:rPr>
      <w:rFonts w:ascii="Tahoma" w:hAnsi="Tahoma" w:cs="Tahoma"/>
      <w:sz w:val="16"/>
      <w:szCs w:val="16"/>
    </w:rPr>
  </w:style>
  <w:style w:type="paragraph" w:styleId="7">
    <w:name w:val="Body Text"/>
    <w:basedOn w:val="1"/>
    <w:link w:val="58"/>
    <w:semiHidden/>
    <w:unhideWhenUsed/>
    <w:uiPriority w:val="99"/>
    <w:pPr>
      <w:spacing w:after="120" w:line="276" w:lineRule="auto"/>
    </w:pPr>
    <w:rPr>
      <w:rFonts w:asciiTheme="minorHAnsi" w:hAnsiTheme="minorHAnsi" w:eastAsiaTheme="minorHAnsi" w:cstheme="minorBidi"/>
      <w:sz w:val="22"/>
      <w:szCs w:val="22"/>
      <w:lang w:eastAsia="en-US"/>
    </w:rPr>
  </w:style>
  <w:style w:type="paragraph" w:styleId="8">
    <w:name w:val="Body Text 2"/>
    <w:basedOn w:val="1"/>
    <w:link w:val="51"/>
    <w:semiHidden/>
    <w:unhideWhenUsed/>
    <w:uiPriority w:val="99"/>
    <w:pPr>
      <w:spacing w:after="120" w:line="480" w:lineRule="auto"/>
    </w:pPr>
    <w:rPr>
      <w:rFonts w:ascii="Calibri" w:hAnsi="Calibri" w:eastAsia="Calibri"/>
      <w:sz w:val="22"/>
      <w:szCs w:val="22"/>
      <w:lang w:eastAsia="en-US"/>
    </w:rPr>
  </w:style>
  <w:style w:type="paragraph" w:styleId="9">
    <w:name w:val="Body Text 3"/>
    <w:basedOn w:val="1"/>
    <w:link w:val="52"/>
    <w:unhideWhenUsed/>
    <w:uiPriority w:val="99"/>
    <w:pPr>
      <w:spacing w:after="120"/>
    </w:pPr>
    <w:rPr>
      <w:rFonts w:ascii="Calibri" w:hAnsi="Calibri" w:eastAsia="Calibri"/>
      <w:sz w:val="16"/>
      <w:szCs w:val="16"/>
      <w:lang w:eastAsia="en-US"/>
    </w:rPr>
  </w:style>
  <w:style w:type="paragraph" w:styleId="10">
    <w:name w:val="annotation text"/>
    <w:basedOn w:val="1"/>
    <w:link w:val="45"/>
    <w:semiHidden/>
    <w:unhideWhenUsed/>
    <w:uiPriority w:val="99"/>
    <w:rPr>
      <w:sz w:val="20"/>
      <w:szCs w:val="20"/>
    </w:rPr>
  </w:style>
  <w:style w:type="paragraph" w:styleId="11">
    <w:name w:val="annotation subject"/>
    <w:basedOn w:val="10"/>
    <w:next w:val="10"/>
    <w:link w:val="46"/>
    <w:semiHidden/>
    <w:unhideWhenUsed/>
    <w:uiPriority w:val="99"/>
    <w:rPr>
      <w:b/>
      <w:bCs/>
    </w:rPr>
  </w:style>
  <w:style w:type="paragraph" w:styleId="12">
    <w:name w:val="footer"/>
    <w:basedOn w:val="1"/>
    <w:link w:val="33"/>
    <w:unhideWhenUsed/>
    <w:uiPriority w:val="99"/>
    <w:pPr>
      <w:tabs>
        <w:tab w:val="center" w:pos="4677"/>
        <w:tab w:val="right" w:pos="9355"/>
      </w:tabs>
    </w:pPr>
  </w:style>
  <w:style w:type="paragraph" w:styleId="13">
    <w:name w:val="header"/>
    <w:basedOn w:val="1"/>
    <w:link w:val="67"/>
    <w:semiHidden/>
    <w:unhideWhenUsed/>
    <w:uiPriority w:val="99"/>
    <w:pPr>
      <w:tabs>
        <w:tab w:val="center" w:pos="4677"/>
        <w:tab w:val="right" w:pos="9355"/>
      </w:tabs>
    </w:pPr>
  </w:style>
  <w:style w:type="paragraph" w:styleId="14">
    <w:name w:val="Normal (Web)"/>
    <w:basedOn w:val="1"/>
    <w:unhideWhenUsed/>
    <w:uiPriority w:val="99"/>
    <w:pPr>
      <w:spacing w:before="100" w:beforeAutospacing="1" w:after="100" w:afterAutospacing="1"/>
    </w:pPr>
  </w:style>
  <w:style w:type="paragraph" w:styleId="15">
    <w:name w:val="toc 1"/>
    <w:basedOn w:val="1"/>
    <w:next w:val="1"/>
    <w:unhideWhenUsed/>
    <w:qFormat/>
    <w:uiPriority w:val="39"/>
    <w:pPr>
      <w:tabs>
        <w:tab w:val="left" w:pos="5529"/>
        <w:tab w:val="right" w:leader="dot" w:pos="9339"/>
      </w:tabs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16">
    <w:name w:val="toc 2"/>
    <w:basedOn w:val="1"/>
    <w:next w:val="1"/>
    <w:unhideWhenUsed/>
    <w:qFormat/>
    <w:uiPriority w:val="39"/>
    <w:pPr>
      <w:tabs>
        <w:tab w:val="right" w:leader="dot" w:pos="9629"/>
      </w:tabs>
      <w:spacing w:line="276" w:lineRule="auto"/>
      <w:ind w:left="240"/>
      <w:jc w:val="left"/>
    </w:pPr>
    <w:rPr>
      <w:rFonts w:asciiTheme="minorHAnsi" w:hAnsiTheme="minorHAnsi"/>
      <w:smallCaps/>
      <w:sz w:val="20"/>
      <w:szCs w:val="20"/>
    </w:rPr>
  </w:style>
  <w:style w:type="paragraph" w:styleId="17">
    <w:name w:val="toc 3"/>
    <w:basedOn w:val="1"/>
    <w:next w:val="1"/>
    <w:unhideWhenUsed/>
    <w:qFormat/>
    <w:uiPriority w:val="39"/>
    <w:pPr>
      <w:ind w:left="480"/>
    </w:pPr>
    <w:rPr>
      <w:rFonts w:asciiTheme="minorHAnsi" w:hAnsiTheme="minorHAnsi"/>
      <w:i/>
      <w:iCs/>
      <w:sz w:val="20"/>
      <w:szCs w:val="20"/>
    </w:rPr>
  </w:style>
  <w:style w:type="paragraph" w:styleId="18">
    <w:name w:val="toc 4"/>
    <w:basedOn w:val="1"/>
    <w:next w:val="1"/>
    <w:semiHidden/>
    <w:unhideWhenUsed/>
    <w:uiPriority w:val="39"/>
    <w:pPr>
      <w:ind w:left="720"/>
    </w:pPr>
    <w:rPr>
      <w:rFonts w:asciiTheme="minorHAnsi" w:hAnsiTheme="minorHAnsi"/>
      <w:sz w:val="18"/>
      <w:szCs w:val="18"/>
    </w:rPr>
  </w:style>
  <w:style w:type="paragraph" w:styleId="19">
    <w:name w:val="toc 5"/>
    <w:basedOn w:val="1"/>
    <w:next w:val="1"/>
    <w:semiHidden/>
    <w:unhideWhenUsed/>
    <w:uiPriority w:val="39"/>
    <w:pPr>
      <w:ind w:left="960"/>
    </w:pPr>
    <w:rPr>
      <w:rFonts w:asciiTheme="minorHAnsi" w:hAnsiTheme="minorHAnsi"/>
      <w:sz w:val="18"/>
      <w:szCs w:val="18"/>
    </w:rPr>
  </w:style>
  <w:style w:type="paragraph" w:styleId="20">
    <w:name w:val="toc 6"/>
    <w:basedOn w:val="1"/>
    <w:next w:val="1"/>
    <w:semiHidden/>
    <w:unhideWhenUsed/>
    <w:uiPriority w:val="39"/>
    <w:pPr>
      <w:ind w:left="1200"/>
    </w:pPr>
    <w:rPr>
      <w:rFonts w:asciiTheme="minorHAnsi" w:hAnsiTheme="minorHAnsi"/>
      <w:sz w:val="18"/>
      <w:szCs w:val="18"/>
    </w:rPr>
  </w:style>
  <w:style w:type="paragraph" w:styleId="21">
    <w:name w:val="toc 7"/>
    <w:basedOn w:val="1"/>
    <w:next w:val="1"/>
    <w:semiHidden/>
    <w:unhideWhenUsed/>
    <w:uiPriority w:val="39"/>
    <w:pPr>
      <w:ind w:left="1440"/>
    </w:pPr>
    <w:rPr>
      <w:rFonts w:asciiTheme="minorHAnsi" w:hAnsiTheme="minorHAnsi"/>
      <w:sz w:val="18"/>
      <w:szCs w:val="18"/>
    </w:rPr>
  </w:style>
  <w:style w:type="paragraph" w:styleId="22">
    <w:name w:val="toc 8"/>
    <w:basedOn w:val="1"/>
    <w:next w:val="1"/>
    <w:semiHidden/>
    <w:unhideWhenUsed/>
    <w:uiPriority w:val="39"/>
    <w:pPr>
      <w:ind w:left="1680"/>
    </w:pPr>
    <w:rPr>
      <w:rFonts w:asciiTheme="minorHAnsi" w:hAnsiTheme="minorHAnsi"/>
      <w:sz w:val="18"/>
      <w:szCs w:val="18"/>
    </w:rPr>
  </w:style>
  <w:style w:type="paragraph" w:styleId="23">
    <w:name w:val="toc 9"/>
    <w:basedOn w:val="1"/>
    <w:next w:val="1"/>
    <w:semiHidden/>
    <w:unhideWhenUsed/>
    <w:uiPriority w:val="39"/>
    <w:pPr>
      <w:ind w:left="1920"/>
    </w:pPr>
    <w:rPr>
      <w:rFonts w:asciiTheme="minorHAnsi" w:hAnsiTheme="minorHAnsi"/>
      <w:sz w:val="18"/>
      <w:szCs w:val="18"/>
    </w:rPr>
  </w:style>
  <w:style w:type="character" w:styleId="25">
    <w:name w:val="annotation reference"/>
    <w:basedOn w:val="24"/>
    <w:semiHidden/>
    <w:unhideWhenUsed/>
    <w:uiPriority w:val="99"/>
    <w:rPr>
      <w:sz w:val="16"/>
      <w:szCs w:val="16"/>
    </w:rPr>
  </w:style>
  <w:style w:type="character" w:styleId="26">
    <w:name w:val="Emphasis"/>
    <w:basedOn w:val="24"/>
    <w:qFormat/>
    <w:uiPriority w:val="20"/>
    <w:rPr>
      <w:i/>
      <w:iCs/>
    </w:rPr>
  </w:style>
  <w:style w:type="character" w:styleId="27">
    <w:name w:val="FollowedHyperlink"/>
    <w:basedOn w:val="24"/>
    <w:semiHidden/>
    <w:unhideWhenUsed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28">
    <w:name w:val="Hyperlink"/>
    <w:basedOn w:val="24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29">
    <w:name w:val="page number"/>
    <w:basedOn w:val="24"/>
    <w:semiHidden/>
    <w:unhideWhenUsed/>
    <w:uiPriority w:val="99"/>
  </w:style>
  <w:style w:type="character" w:styleId="30">
    <w:name w:val="Strong"/>
    <w:basedOn w:val="24"/>
    <w:qFormat/>
    <w:uiPriority w:val="22"/>
    <w:rPr>
      <w:b/>
      <w:bCs/>
    </w:rPr>
  </w:style>
  <w:style w:type="table" w:styleId="32">
    <w:name w:val="Table Grid"/>
    <w:basedOn w:val="31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33">
    <w:name w:val="Нижний колонтитул Знак"/>
    <w:basedOn w:val="24"/>
    <w:link w:val="12"/>
    <w:uiPriority w:val="99"/>
  </w:style>
  <w:style w:type="paragraph" w:styleId="34">
    <w:name w:val="List Paragraph"/>
    <w:basedOn w:val="1"/>
    <w:qFormat/>
    <w:uiPriority w:val="34"/>
    <w:pPr>
      <w:ind w:left="720"/>
      <w:contextualSpacing/>
    </w:pPr>
  </w:style>
  <w:style w:type="character" w:customStyle="1" w:styleId="35">
    <w:name w:val="Неразрешенное упоминание1"/>
    <w:basedOn w:val="24"/>
    <w:semiHidden/>
    <w:unhideWhenUsed/>
    <w:uiPriority w:val="99"/>
    <w:rPr>
      <w:color w:val="605E5C"/>
      <w:shd w:val="clear" w:color="auto" w:fill="E1DFDD"/>
    </w:rPr>
  </w:style>
  <w:style w:type="character" w:customStyle="1" w:styleId="36">
    <w:name w:val="apple-converted-space"/>
    <w:basedOn w:val="24"/>
    <w:uiPriority w:val="0"/>
  </w:style>
  <w:style w:type="character" w:styleId="37">
    <w:name w:val="Placeholder Text"/>
    <w:basedOn w:val="24"/>
    <w:semiHidden/>
    <w:uiPriority w:val="99"/>
    <w:rPr>
      <w:color w:val="808080"/>
    </w:rPr>
  </w:style>
  <w:style w:type="character" w:customStyle="1" w:styleId="38">
    <w:name w:val="Заголовок 1 Знак"/>
    <w:basedOn w:val="24"/>
    <w:link w:val="2"/>
    <w:uiPriority w:val="9"/>
    <w:rPr>
      <w:rFonts w:asciiTheme="majorHAnsi" w:hAnsiTheme="majorHAnsi" w:eastAsiaTheme="majorEastAsia" w:cstheme="majorBidi"/>
      <w:color w:val="2F5597" w:themeColor="accent1" w:themeShade="BF"/>
      <w:sz w:val="32"/>
      <w:szCs w:val="32"/>
      <w:lang w:eastAsia="ru-RU"/>
    </w:rPr>
  </w:style>
  <w:style w:type="paragraph" w:customStyle="1" w:styleId="39">
    <w:name w:val="TOC Heading"/>
    <w:basedOn w:val="2"/>
    <w:next w:val="1"/>
    <w:unhideWhenUsed/>
    <w:qFormat/>
    <w:uiPriority w:val="39"/>
    <w:pPr>
      <w:spacing w:before="480" w:line="276" w:lineRule="auto"/>
      <w:outlineLvl w:val="9"/>
    </w:pPr>
    <w:rPr>
      <w:b/>
      <w:bCs/>
      <w:sz w:val="28"/>
      <w:szCs w:val="28"/>
    </w:rPr>
  </w:style>
  <w:style w:type="character" w:customStyle="1" w:styleId="40">
    <w:name w:val="Заголовок 2 Знак"/>
    <w:basedOn w:val="24"/>
    <w:link w:val="3"/>
    <w:uiPriority w:val="9"/>
    <w:rPr>
      <w:rFonts w:ascii="Times New Roman" w:hAnsi="Times New Roman" w:eastAsiaTheme="majorEastAsia" w:cstheme="majorBidi"/>
      <w:b/>
      <w:szCs w:val="26"/>
      <w:lang w:eastAsia="ru-RU"/>
    </w:rPr>
  </w:style>
  <w:style w:type="character" w:customStyle="1" w:styleId="41">
    <w:name w:val="Заголовок 3 Знак"/>
    <w:basedOn w:val="24"/>
    <w:link w:val="4"/>
    <w:uiPriority w:val="9"/>
    <w:rPr>
      <w:rFonts w:asciiTheme="majorHAnsi" w:hAnsiTheme="majorHAnsi" w:eastAsiaTheme="majorEastAsia" w:cstheme="majorBidi"/>
      <w:color w:val="203864" w:themeColor="accent1" w:themeShade="80"/>
      <w:lang w:eastAsia="ru-RU"/>
    </w:rPr>
  </w:style>
  <w:style w:type="paragraph" w:customStyle="1" w:styleId="42">
    <w:name w:val="paragraph"/>
    <w:basedOn w:val="1"/>
    <w:uiPriority w:val="0"/>
    <w:pPr>
      <w:spacing w:before="100" w:beforeAutospacing="1" w:after="100" w:afterAutospacing="1"/>
    </w:pPr>
  </w:style>
  <w:style w:type="paragraph" w:customStyle="1" w:styleId="43">
    <w:name w:val="list__item"/>
    <w:basedOn w:val="1"/>
    <w:uiPriority w:val="0"/>
    <w:pPr>
      <w:spacing w:before="100" w:beforeAutospacing="1" w:after="100" w:afterAutospacing="1"/>
    </w:pPr>
  </w:style>
  <w:style w:type="character" w:customStyle="1" w:styleId="44">
    <w:name w:val="Текст выноски Знак"/>
    <w:basedOn w:val="24"/>
    <w:link w:val="6"/>
    <w:semiHidden/>
    <w:uiPriority w:val="99"/>
    <w:rPr>
      <w:rFonts w:ascii="Tahoma" w:hAnsi="Tahoma" w:eastAsia="Times New Roman" w:cs="Tahoma"/>
      <w:sz w:val="16"/>
      <w:szCs w:val="16"/>
      <w:lang w:eastAsia="ru-RU"/>
    </w:rPr>
  </w:style>
  <w:style w:type="character" w:customStyle="1" w:styleId="45">
    <w:name w:val="Текст примечания Знак"/>
    <w:basedOn w:val="24"/>
    <w:link w:val="10"/>
    <w:semiHidden/>
    <w:uiPriority w:val="99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customStyle="1" w:styleId="46">
    <w:name w:val="Тема примечания Знак"/>
    <w:basedOn w:val="45"/>
    <w:link w:val="11"/>
    <w:semiHidden/>
    <w:uiPriority w:val="99"/>
    <w:rPr>
      <w:rFonts w:ascii="Times New Roman" w:hAnsi="Times New Roman" w:eastAsia="Times New Roman" w:cs="Times New Roman"/>
      <w:b/>
      <w:bCs/>
      <w:sz w:val="20"/>
      <w:szCs w:val="20"/>
      <w:lang w:eastAsia="ru-RU"/>
    </w:rPr>
  </w:style>
  <w:style w:type="paragraph" w:customStyle="1" w:styleId="47">
    <w:name w:val="pe"/>
    <w:basedOn w:val="1"/>
    <w:uiPriority w:val="0"/>
    <w:pPr>
      <w:spacing w:before="100" w:beforeAutospacing="1" w:after="100" w:afterAutospacing="1"/>
    </w:pPr>
  </w:style>
  <w:style w:type="paragraph" w:customStyle="1" w:styleId="48">
    <w:name w:val="Revision"/>
    <w:hidden/>
    <w:semiHidden/>
    <w:uiPriority w:val="99"/>
    <w:rPr>
      <w:rFonts w:ascii="Times New Roman" w:hAnsi="Times New Roman" w:eastAsia="Times New Roman" w:cs="Times New Roman"/>
      <w:sz w:val="24"/>
      <w:szCs w:val="24"/>
      <w:lang w:val="ru-RU" w:eastAsia="ru-RU" w:bidi="ar-SA"/>
    </w:rPr>
  </w:style>
  <w:style w:type="character" w:customStyle="1" w:styleId="49">
    <w:name w:val="Неразрешенное упоминание2"/>
    <w:basedOn w:val="24"/>
    <w:semiHidden/>
    <w:unhideWhenUsed/>
    <w:uiPriority w:val="99"/>
    <w:rPr>
      <w:color w:val="605E5C"/>
      <w:shd w:val="clear" w:color="auto" w:fill="E1DFDD"/>
    </w:rPr>
  </w:style>
  <w:style w:type="character" w:customStyle="1" w:styleId="50">
    <w:name w:val="Неразрешенное упоминание3"/>
    <w:basedOn w:val="24"/>
    <w:semiHidden/>
    <w:unhideWhenUsed/>
    <w:uiPriority w:val="99"/>
    <w:rPr>
      <w:color w:val="605E5C"/>
      <w:shd w:val="clear" w:color="auto" w:fill="E1DFDD"/>
    </w:rPr>
  </w:style>
  <w:style w:type="character" w:customStyle="1" w:styleId="51">
    <w:name w:val="Основной текст 2 Знак"/>
    <w:basedOn w:val="24"/>
    <w:link w:val="8"/>
    <w:semiHidden/>
    <w:uiPriority w:val="99"/>
    <w:rPr>
      <w:rFonts w:ascii="Calibri" w:hAnsi="Calibri" w:eastAsia="Calibri" w:cs="Times New Roman"/>
      <w:sz w:val="22"/>
      <w:szCs w:val="22"/>
    </w:rPr>
  </w:style>
  <w:style w:type="character" w:customStyle="1" w:styleId="52">
    <w:name w:val="Основной текст 3 Знак"/>
    <w:basedOn w:val="24"/>
    <w:link w:val="9"/>
    <w:uiPriority w:val="99"/>
    <w:rPr>
      <w:rFonts w:ascii="Calibri" w:hAnsi="Calibri" w:eastAsia="Calibri" w:cs="Times New Roman"/>
      <w:sz w:val="16"/>
      <w:szCs w:val="16"/>
    </w:rPr>
  </w:style>
  <w:style w:type="paragraph" w:customStyle="1" w:styleId="53">
    <w:name w:val="Обычный1"/>
    <w:uiPriority w:val="0"/>
    <w:pPr>
      <w:widowControl w:val="0"/>
    </w:pPr>
    <w:rPr>
      <w:rFonts w:ascii="Times New Roman" w:hAnsi="Times New Roman" w:eastAsia="Times New Roman" w:cs="Times New Roman"/>
      <w:snapToGrid w:val="0"/>
      <w:sz w:val="20"/>
      <w:szCs w:val="20"/>
      <w:lang w:val="ru-RU" w:eastAsia="ru-RU" w:bidi="ar-SA"/>
    </w:rPr>
  </w:style>
  <w:style w:type="paragraph" w:customStyle="1" w:styleId="54">
    <w:name w:val="Обычный текст ГОСТ"/>
    <w:basedOn w:val="7"/>
    <w:next w:val="1"/>
    <w:uiPriority w:val="0"/>
    <w:pPr>
      <w:spacing w:before="120" w:after="0" w:line="360" w:lineRule="auto"/>
    </w:pPr>
    <w:rPr>
      <w:rFonts w:ascii="Times New Roman" w:hAnsi="Times New Roman" w:eastAsia="Times New Roman" w:cs="Times New Roman"/>
      <w:sz w:val="28"/>
      <w:szCs w:val="28"/>
      <w:lang w:eastAsia="ru-RU"/>
    </w:rPr>
  </w:style>
  <w:style w:type="paragraph" w:customStyle="1" w:styleId="55">
    <w:name w:val="_Параграф"/>
    <w:basedOn w:val="1"/>
    <w:link w:val="56"/>
    <w:uiPriority w:val="0"/>
    <w:pPr>
      <w:ind w:firstLine="567"/>
    </w:pPr>
    <w:rPr>
      <w:rFonts w:eastAsia="Calibri"/>
    </w:rPr>
  </w:style>
  <w:style w:type="character" w:customStyle="1" w:styleId="56">
    <w:name w:val="_Параграф Char"/>
    <w:link w:val="55"/>
    <w:uiPriority w:val="0"/>
    <w:rPr>
      <w:rFonts w:ascii="Times New Roman" w:hAnsi="Times New Roman" w:eastAsia="Calibri" w:cs="Times New Roman"/>
      <w:lang w:eastAsia="ru-RU"/>
    </w:rPr>
  </w:style>
  <w:style w:type="paragraph" w:customStyle="1" w:styleId="57">
    <w:name w:val="Мой_рисунок_нумерация"/>
    <w:basedOn w:val="1"/>
    <w:qFormat/>
    <w:uiPriority w:val="0"/>
    <w:pPr>
      <w:numPr>
        <w:ilvl w:val="0"/>
        <w:numId w:val="1"/>
      </w:numPr>
      <w:tabs>
        <w:tab w:val="left" w:pos="0"/>
        <w:tab w:val="left" w:pos="994"/>
      </w:tabs>
      <w:ind w:left="0"/>
    </w:pPr>
    <w:rPr>
      <w:rFonts w:eastAsia="Calibri"/>
    </w:rPr>
  </w:style>
  <w:style w:type="character" w:customStyle="1" w:styleId="58">
    <w:name w:val="Основной текст Знак"/>
    <w:basedOn w:val="24"/>
    <w:link w:val="7"/>
    <w:semiHidden/>
    <w:uiPriority w:val="99"/>
    <w:rPr>
      <w:sz w:val="22"/>
      <w:szCs w:val="22"/>
    </w:rPr>
  </w:style>
  <w:style w:type="paragraph" w:customStyle="1" w:styleId="59">
    <w:name w:val="_Раздел"/>
    <w:basedOn w:val="1"/>
    <w:next w:val="1"/>
    <w:uiPriority w:val="0"/>
    <w:pPr>
      <w:keepNext/>
      <w:keepLines/>
      <w:numPr>
        <w:ilvl w:val="0"/>
        <w:numId w:val="2"/>
      </w:numPr>
      <w:spacing w:before="240" w:after="240"/>
      <w:ind w:right="284"/>
      <w:jc w:val="center"/>
      <w:outlineLvl w:val="0"/>
    </w:pPr>
    <w:rPr>
      <w:rFonts w:cs="Arial"/>
      <w:szCs w:val="20"/>
    </w:rPr>
  </w:style>
  <w:style w:type="paragraph" w:customStyle="1" w:styleId="60">
    <w:name w:val="_Подраздел"/>
    <w:basedOn w:val="1"/>
    <w:next w:val="1"/>
    <w:uiPriority w:val="0"/>
    <w:pPr>
      <w:keepNext/>
      <w:numPr>
        <w:ilvl w:val="1"/>
        <w:numId w:val="2"/>
      </w:numPr>
      <w:spacing w:before="240" w:after="240"/>
      <w:outlineLvl w:val="1"/>
    </w:pPr>
    <w:rPr>
      <w:rFonts w:cs="Arial"/>
      <w:szCs w:val="20"/>
    </w:rPr>
  </w:style>
  <w:style w:type="paragraph" w:customStyle="1" w:styleId="61">
    <w:name w:val="_Абзац"/>
    <w:basedOn w:val="55"/>
    <w:next w:val="55"/>
    <w:uiPriority w:val="99"/>
    <w:pPr>
      <w:numPr>
        <w:ilvl w:val="4"/>
        <w:numId w:val="2"/>
      </w:numPr>
      <w:tabs>
        <w:tab w:val="left" w:pos="3600"/>
      </w:tabs>
      <w:ind w:left="3600" w:hanging="360"/>
      <w:outlineLvl w:val="4"/>
    </w:pPr>
    <w:rPr>
      <w:szCs w:val="20"/>
    </w:rPr>
  </w:style>
  <w:style w:type="paragraph" w:customStyle="1" w:styleId="62">
    <w:name w:val="_Подпункт"/>
    <w:basedOn w:val="1"/>
    <w:next w:val="55"/>
    <w:uiPriority w:val="0"/>
    <w:pPr>
      <w:keepNext/>
      <w:numPr>
        <w:ilvl w:val="3"/>
        <w:numId w:val="2"/>
      </w:numPr>
      <w:spacing w:before="120" w:after="120"/>
      <w:ind w:right="284"/>
      <w:outlineLvl w:val="3"/>
    </w:pPr>
    <w:rPr>
      <w:rFonts w:cs="Arial"/>
      <w:szCs w:val="20"/>
    </w:rPr>
  </w:style>
  <w:style w:type="paragraph" w:customStyle="1" w:styleId="63">
    <w:name w:val="_Список"/>
    <w:basedOn w:val="1"/>
    <w:qFormat/>
    <w:uiPriority w:val="99"/>
    <w:pPr>
      <w:numPr>
        <w:ilvl w:val="0"/>
        <w:numId w:val="3"/>
      </w:numPr>
      <w:tabs>
        <w:tab w:val="left" w:pos="851"/>
        <w:tab w:val="clear" w:pos="1353"/>
      </w:tabs>
    </w:pPr>
    <w:rPr>
      <w:rFonts w:eastAsia="Calibri"/>
    </w:rPr>
  </w:style>
  <w:style w:type="paragraph" w:customStyle="1" w:styleId="64">
    <w:name w:val="_Формула"/>
    <w:basedOn w:val="55"/>
    <w:next w:val="1"/>
    <w:qFormat/>
    <w:uiPriority w:val="99"/>
    <w:pPr>
      <w:tabs>
        <w:tab w:val="left" w:pos="567"/>
        <w:tab w:val="center" w:pos="4500"/>
        <w:tab w:val="left" w:pos="8222"/>
      </w:tabs>
      <w:ind w:firstLine="0"/>
    </w:pPr>
  </w:style>
  <w:style w:type="paragraph" w:customStyle="1" w:styleId="65">
    <w:name w:val="_Пункт"/>
    <w:basedOn w:val="60"/>
    <w:next w:val="55"/>
    <w:uiPriority w:val="0"/>
    <w:pPr>
      <w:numPr>
        <w:ilvl w:val="2"/>
      </w:numPr>
      <w:spacing w:before="120" w:after="120"/>
      <w:outlineLvl w:val="2"/>
    </w:pPr>
  </w:style>
  <w:style w:type="paragraph" w:customStyle="1" w:styleId="66">
    <w:name w:val="_Продолжение"/>
    <w:basedOn w:val="55"/>
    <w:next w:val="55"/>
    <w:qFormat/>
    <w:uiPriority w:val="0"/>
    <w:pPr>
      <w:ind w:firstLine="0"/>
    </w:pPr>
  </w:style>
  <w:style w:type="character" w:customStyle="1" w:styleId="67">
    <w:name w:val="Верхний колонтитул Знак"/>
    <w:basedOn w:val="24"/>
    <w:link w:val="13"/>
    <w:semiHidden/>
    <w:uiPriority w:val="99"/>
    <w:rPr>
      <w:rFonts w:ascii="Times New Roman" w:hAnsi="Times New Roman" w:eastAsia="Times New Roman" w:cs="Times New Roman"/>
      <w:lang w:eastAsia="ru-RU"/>
    </w:rPr>
  </w:style>
  <w:style w:type="character" w:customStyle="1" w:styleId="68">
    <w:name w:val="text-muted"/>
    <w:basedOn w:val="24"/>
    <w:uiPriority w:val="0"/>
  </w:style>
  <w:style w:type="character" w:customStyle="1" w:styleId="69">
    <w:name w:val="Неразрешенное упоминание4"/>
    <w:basedOn w:val="24"/>
    <w:semiHidden/>
    <w:unhideWhenUsed/>
    <w:uiPriority w:val="99"/>
    <w:rPr>
      <w:color w:val="605E5C"/>
      <w:shd w:val="clear" w:color="auto" w:fill="E1DFDD"/>
    </w:rPr>
  </w:style>
  <w:style w:type="paragraph" w:styleId="70">
    <w:name w:val="No Spacing"/>
    <w:qFormat/>
    <w:uiPriority w:val="1"/>
    <w:pPr>
      <w:suppressAutoHyphens/>
      <w:jc w:val="both"/>
    </w:pPr>
    <w:rPr>
      <w:rFonts w:ascii="Times New Roman" w:hAnsi="Times New Roman" w:eastAsia="Times New Roman" w:cs="Times New Roman"/>
      <w:sz w:val="28"/>
      <w:szCs w:val="24"/>
      <w:lang w:val="ru-RU" w:eastAsia="ru-RU" w:bidi="ar-SA"/>
    </w:rPr>
  </w:style>
  <w:style w:type="character" w:customStyle="1" w:styleId="71">
    <w:name w:val="Заголовок 4 Знак"/>
    <w:basedOn w:val="24"/>
    <w:link w:val="5"/>
    <w:semiHidden/>
    <w:uiPriority w:val="9"/>
    <w:rPr>
      <w:rFonts w:asciiTheme="majorHAnsi" w:hAnsiTheme="majorHAnsi" w:eastAsiaTheme="majorEastAsia" w:cstheme="majorBidi"/>
      <w:i/>
      <w:iCs/>
      <w:color w:val="2F5597" w:themeColor="accent1" w:themeShade="BF"/>
      <w:sz w:val="28"/>
      <w:lang w:eastAsia="ru-RU"/>
    </w:rPr>
  </w:style>
  <w:style w:type="paragraph" w:customStyle="1" w:styleId="72">
    <w:name w:val="wp-caption-text"/>
    <w:basedOn w:val="1"/>
    <w:uiPriority w:val="0"/>
    <w:pPr>
      <w:suppressAutoHyphens w:val="0"/>
      <w:spacing w:before="100" w:beforeAutospacing="1" w:after="100" w:afterAutospacing="1" w:line="240" w:lineRule="auto"/>
      <w:jc w:val="left"/>
    </w:pPr>
  </w:style>
  <w:style w:type="character" w:customStyle="1" w:styleId="73">
    <w:name w:val="mjx-chtml"/>
    <w:basedOn w:val="24"/>
    <w:uiPriority w:val="0"/>
  </w:style>
  <w:style w:type="character" w:customStyle="1" w:styleId="74">
    <w:name w:val="mjx-math"/>
    <w:basedOn w:val="24"/>
    <w:uiPriority w:val="0"/>
  </w:style>
  <w:style w:type="character" w:customStyle="1" w:styleId="75">
    <w:name w:val="mjx-mrow"/>
    <w:basedOn w:val="24"/>
    <w:uiPriority w:val="0"/>
  </w:style>
  <w:style w:type="character" w:customStyle="1" w:styleId="76">
    <w:name w:val="mjx-msubsup"/>
    <w:basedOn w:val="24"/>
    <w:uiPriority w:val="0"/>
  </w:style>
  <w:style w:type="character" w:customStyle="1" w:styleId="77">
    <w:name w:val="mjx-base"/>
    <w:basedOn w:val="24"/>
    <w:uiPriority w:val="0"/>
  </w:style>
  <w:style w:type="character" w:customStyle="1" w:styleId="78">
    <w:name w:val="mjx-mi"/>
    <w:basedOn w:val="24"/>
    <w:uiPriority w:val="0"/>
  </w:style>
  <w:style w:type="character" w:customStyle="1" w:styleId="79">
    <w:name w:val="mjx-char"/>
    <w:basedOn w:val="24"/>
    <w:uiPriority w:val="0"/>
  </w:style>
  <w:style w:type="character" w:customStyle="1" w:styleId="80">
    <w:name w:val="mjx-sub"/>
    <w:basedOn w:val="24"/>
    <w:uiPriority w:val="0"/>
  </w:style>
  <w:style w:type="character" w:customStyle="1" w:styleId="81">
    <w:name w:val="mjx-texatom"/>
    <w:basedOn w:val="24"/>
    <w:uiPriority w:val="0"/>
  </w:style>
  <w:style w:type="character" w:customStyle="1" w:styleId="82">
    <w:name w:val="mjx-mo"/>
    <w:basedOn w:val="24"/>
    <w:uiPriority w:val="0"/>
  </w:style>
  <w:style w:type="character" w:customStyle="1" w:styleId="83">
    <w:name w:val="mjx-charbox"/>
    <w:basedOn w:val="24"/>
    <w:uiPriority w:val="0"/>
  </w:style>
  <w:style w:type="character" w:customStyle="1" w:styleId="84">
    <w:name w:val="mjx-mfrac"/>
    <w:basedOn w:val="24"/>
    <w:uiPriority w:val="0"/>
  </w:style>
  <w:style w:type="character" w:customStyle="1" w:styleId="85">
    <w:name w:val="mjx-box"/>
    <w:basedOn w:val="24"/>
    <w:uiPriority w:val="0"/>
  </w:style>
  <w:style w:type="character" w:customStyle="1" w:styleId="86">
    <w:name w:val="mjx-numerator"/>
    <w:basedOn w:val="24"/>
    <w:uiPriority w:val="0"/>
  </w:style>
  <w:style w:type="character" w:customStyle="1" w:styleId="87">
    <w:name w:val="mjx-mn"/>
    <w:basedOn w:val="24"/>
    <w:uiPriority w:val="0"/>
  </w:style>
  <w:style w:type="character" w:customStyle="1" w:styleId="88">
    <w:name w:val="mjx-denominator"/>
    <w:basedOn w:val="24"/>
    <w:uiPriority w:val="0"/>
  </w:style>
  <w:style w:type="character" w:customStyle="1" w:styleId="89">
    <w:name w:val="mjx-line"/>
    <w:basedOn w:val="24"/>
    <w:uiPriority w:val="0"/>
  </w:style>
  <w:style w:type="character" w:customStyle="1" w:styleId="90">
    <w:name w:val="mjx-vsize"/>
    <w:basedOn w:val="24"/>
    <w:uiPriority w:val="0"/>
  </w:style>
  <w:style w:type="character" w:customStyle="1" w:styleId="91">
    <w:name w:val="mjx-mspace"/>
    <w:basedOn w:val="24"/>
    <w:uiPriority w:val="0"/>
  </w:style>
  <w:style w:type="character" w:customStyle="1" w:styleId="92">
    <w:name w:val="mjx_assistive_mathml"/>
    <w:basedOn w:val="24"/>
    <w:uiPriority w:val="0"/>
  </w:style>
  <w:style w:type="character" w:customStyle="1" w:styleId="93">
    <w:name w:val="mjx-munderover"/>
    <w:basedOn w:val="24"/>
    <w:uiPriority w:val="0"/>
  </w:style>
  <w:style w:type="character" w:customStyle="1" w:styleId="94">
    <w:name w:val="mjx-stack"/>
    <w:basedOn w:val="24"/>
    <w:uiPriority w:val="0"/>
  </w:style>
  <w:style w:type="character" w:customStyle="1" w:styleId="95">
    <w:name w:val="mjx-over"/>
    <w:basedOn w:val="24"/>
    <w:uiPriority w:val="0"/>
  </w:style>
  <w:style w:type="character" w:customStyle="1" w:styleId="96">
    <w:name w:val="mjx-op"/>
    <w:basedOn w:val="24"/>
    <w:uiPriority w:val="0"/>
  </w:style>
  <w:style w:type="character" w:customStyle="1" w:styleId="97">
    <w:name w:val="mjx-msqrt"/>
    <w:basedOn w:val="24"/>
    <w:uiPriority w:val="0"/>
  </w:style>
  <w:style w:type="character" w:customStyle="1" w:styleId="98">
    <w:name w:val="mjx-surd"/>
    <w:basedOn w:val="24"/>
    <w:uiPriority w:val="0"/>
  </w:style>
  <w:style w:type="character" w:customStyle="1" w:styleId="99">
    <w:name w:val="mjx-sup"/>
    <w:basedOn w:val="24"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9" Type="http://schemas.openxmlformats.org/officeDocument/2006/relationships/fontTable" Target="fontTable.xml"/><Relationship Id="rId38" Type="http://schemas.openxmlformats.org/officeDocument/2006/relationships/numbering" Target="numbering.xml"/><Relationship Id="rId37" Type="http://schemas.openxmlformats.org/officeDocument/2006/relationships/customXml" Target="../customXml/item1.xml"/><Relationship Id="rId36" Type="http://schemas.microsoft.com/office/2007/relationships/hdphoto" Target="media/hdphoto4.wdp"/><Relationship Id="rId35" Type="http://schemas.openxmlformats.org/officeDocument/2006/relationships/image" Target="media/image27.png"/><Relationship Id="rId34" Type="http://schemas.microsoft.com/office/2007/relationships/hdphoto" Target="media/hdphoto3.wdp"/><Relationship Id="rId33" Type="http://schemas.openxmlformats.org/officeDocument/2006/relationships/image" Target="media/image26.png"/><Relationship Id="rId32" Type="http://schemas.openxmlformats.org/officeDocument/2006/relationships/image" Target="media/image25.png"/><Relationship Id="rId31" Type="http://schemas.openxmlformats.org/officeDocument/2006/relationships/image" Target="media/image24.png"/><Relationship Id="rId30" Type="http://schemas.openxmlformats.org/officeDocument/2006/relationships/image" Target="media/image23.png"/><Relationship Id="rId3" Type="http://schemas.openxmlformats.org/officeDocument/2006/relationships/footer" Target="footer1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microsoft.com/office/2007/relationships/hdphoto" Target="media/hdphoto2.wdp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microsoft.com/office/2007/relationships/hdphoto" Target="media/hdphoto1.wdp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GIF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GIF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Grizli777</Company>
  <Pages>26</Pages>
  <Words>5954</Words>
  <Characters>33942</Characters>
  <Lines>282</Lines>
  <Paragraphs>79</Paragraphs>
  <TotalTime>19</TotalTime>
  <ScaleCrop>false</ScaleCrop>
  <LinksUpToDate>false</LinksUpToDate>
  <CharactersWithSpaces>39817</CharactersWithSpaces>
  <Application>WPS Office_10.1.0.6757_F1E327BC-269C-435d-A152-05C5408002CA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2022-05-04T19:27:00Z</dcterms:created>
  <dc:creator>Сергей</dc:creator>
  <cp:lastModifiedBy>viktor</cp:lastModifiedBy>
  <cp:lastPrinted>2022-03-26T11:36:00Z</cp:lastPrinted>
  <dcterms:modified xsi:type="dcterms:W3CDTF">2022-05-19T21:09:44Z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1033-10.1.0.6757</vt:lpwstr>
  </property>
</Properties>
</file>