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8DD4C0" w14:textId="3B8BF788" w:rsidR="0056206F" w:rsidRPr="003C4AC4" w:rsidRDefault="0056206F" w:rsidP="0056206F">
      <w:pPr>
        <w:jc w:val="both"/>
        <w:rPr>
          <w:rFonts w:ascii="Times New Roman" w:hAnsi="Times New Roman" w:cs="Times New Roman"/>
          <w:sz w:val="24"/>
          <w:szCs w:val="24"/>
        </w:rPr>
      </w:pPr>
      <w:r>
        <w:rPr>
          <w:rFonts w:ascii="Times New Roman" w:hAnsi="Times New Roman" w:cs="Times New Roman"/>
          <w:b/>
          <w:bCs/>
          <w:sz w:val="28"/>
          <w:szCs w:val="28"/>
        </w:rPr>
        <w:t>В Эссе</w:t>
      </w:r>
      <w:r w:rsidR="00085EAA">
        <w:rPr>
          <w:rFonts w:ascii="Times New Roman" w:hAnsi="Times New Roman" w:cs="Times New Roman"/>
          <w:b/>
          <w:bCs/>
          <w:sz w:val="28"/>
          <w:szCs w:val="28"/>
        </w:rPr>
        <w:t xml:space="preserve"> ( по теме диссертации) </w:t>
      </w:r>
      <w:r>
        <w:rPr>
          <w:rFonts w:ascii="Times New Roman" w:hAnsi="Times New Roman" w:cs="Times New Roman"/>
          <w:b/>
          <w:bCs/>
          <w:sz w:val="28"/>
          <w:szCs w:val="28"/>
        </w:rPr>
        <w:t xml:space="preserve"> должен </w:t>
      </w:r>
      <w:r w:rsidRPr="003C4AC4">
        <w:rPr>
          <w:rFonts w:ascii="Times New Roman" w:hAnsi="Times New Roman" w:cs="Times New Roman"/>
          <w:sz w:val="24"/>
          <w:szCs w:val="24"/>
        </w:rPr>
        <w:t xml:space="preserve"> быть представлен литературный обзор литературы по тематике работы, включающий обзор в целом по исследуемой проблеме, методических разработок, используемых инструментальных методов и других направлений, определяемых автором ВКР. Требования к минимальному количеству источников информации в литературном обзоре представлены в таблице 1. Максимальный объем источников информации определяется автором самостоятельно. Материалы третьего раздела/главы должны строиться обязательно на актуальных данных, взятых из источников не более трехлетней давности. </w:t>
      </w:r>
      <w:r w:rsidRPr="003C4AC4">
        <w:rPr>
          <w:rFonts w:ascii="Times New Roman" w:hAnsi="Times New Roman" w:cs="Times New Roman"/>
          <w:b/>
          <w:bCs/>
          <w:sz w:val="24"/>
          <w:szCs w:val="24"/>
        </w:rPr>
        <w:t xml:space="preserve">Количество источников, написанных за три года до защиты ВКР, должно составлять </w:t>
      </w:r>
      <w:r w:rsidRPr="003C4AC4">
        <w:rPr>
          <w:rFonts w:ascii="Times New Roman" w:hAnsi="Times New Roman" w:cs="Times New Roman"/>
          <w:b/>
          <w:bCs/>
          <w:color w:val="FF0000"/>
          <w:sz w:val="24"/>
          <w:szCs w:val="24"/>
        </w:rPr>
        <w:t xml:space="preserve">не менее 30% </w:t>
      </w:r>
      <w:r w:rsidRPr="003C4AC4">
        <w:rPr>
          <w:rFonts w:ascii="Times New Roman" w:hAnsi="Times New Roman" w:cs="Times New Roman"/>
          <w:b/>
          <w:bCs/>
          <w:sz w:val="24"/>
          <w:szCs w:val="24"/>
        </w:rPr>
        <w:t>от общего количества источников.</w:t>
      </w:r>
      <w:r w:rsidRPr="003C4AC4">
        <w:rPr>
          <w:rFonts w:ascii="Times New Roman" w:hAnsi="Times New Roman" w:cs="Times New Roman"/>
          <w:sz w:val="24"/>
          <w:szCs w:val="24"/>
        </w:rPr>
        <w:t xml:space="preserve"> </w:t>
      </w:r>
    </w:p>
    <w:p w14:paraId="5E27C59B" w14:textId="77777777" w:rsidR="0056206F" w:rsidRPr="0056206F" w:rsidRDefault="0056206F" w:rsidP="0056206F">
      <w:pPr>
        <w:jc w:val="both"/>
        <w:rPr>
          <w:rFonts w:ascii="Times New Roman" w:hAnsi="Times New Roman" w:cs="Times New Roman"/>
          <w:color w:val="FF0000"/>
          <w:sz w:val="24"/>
          <w:szCs w:val="24"/>
        </w:rPr>
      </w:pPr>
      <w:r w:rsidRPr="0056206F">
        <w:rPr>
          <w:rFonts w:ascii="Times New Roman" w:hAnsi="Times New Roman" w:cs="Times New Roman"/>
          <w:color w:val="FF0000"/>
          <w:sz w:val="24"/>
          <w:szCs w:val="24"/>
        </w:rPr>
        <w:t>Количество использованных источников на русском языке - 45</w:t>
      </w:r>
    </w:p>
    <w:p w14:paraId="36D4AED0" w14:textId="4F7D826E" w:rsidR="0056206F" w:rsidRPr="0056206F" w:rsidRDefault="0056206F" w:rsidP="0056206F">
      <w:pPr>
        <w:jc w:val="both"/>
        <w:rPr>
          <w:rFonts w:ascii="Times New Roman" w:hAnsi="Times New Roman" w:cs="Times New Roman"/>
          <w:color w:val="FF0000"/>
          <w:sz w:val="24"/>
          <w:szCs w:val="24"/>
        </w:rPr>
      </w:pPr>
      <w:r w:rsidRPr="0056206F">
        <w:rPr>
          <w:rFonts w:ascii="Times New Roman" w:hAnsi="Times New Roman" w:cs="Times New Roman"/>
          <w:color w:val="FF0000"/>
          <w:sz w:val="24"/>
          <w:szCs w:val="24"/>
        </w:rPr>
        <w:t>Количество использованных источников на иностранном языке  - 8</w:t>
      </w:r>
    </w:p>
    <w:p w14:paraId="1D019A71" w14:textId="42C3477B" w:rsidR="0056206F" w:rsidRPr="0056206F" w:rsidRDefault="0056206F" w:rsidP="0056206F">
      <w:pPr>
        <w:jc w:val="both"/>
        <w:rPr>
          <w:rFonts w:ascii="Times New Roman" w:hAnsi="Times New Roman" w:cs="Times New Roman"/>
          <w:sz w:val="24"/>
          <w:szCs w:val="24"/>
        </w:rPr>
      </w:pPr>
      <w:r w:rsidRPr="0056206F">
        <w:rPr>
          <w:rFonts w:ascii="Times New Roman" w:hAnsi="Times New Roman" w:cs="Times New Roman"/>
          <w:sz w:val="24"/>
          <w:szCs w:val="24"/>
        </w:rPr>
        <w:t>Объем от 12 страниц</w:t>
      </w:r>
      <w:r>
        <w:rPr>
          <w:rFonts w:ascii="Times New Roman" w:hAnsi="Times New Roman" w:cs="Times New Roman"/>
          <w:sz w:val="24"/>
          <w:szCs w:val="24"/>
        </w:rPr>
        <w:t>.</w:t>
      </w:r>
    </w:p>
    <w:p w14:paraId="30433FC3" w14:textId="691D0028" w:rsidR="0056206F" w:rsidRDefault="0056206F" w:rsidP="0056206F">
      <w:pPr>
        <w:jc w:val="both"/>
        <w:rPr>
          <w:rFonts w:ascii="Times New Roman" w:hAnsi="Times New Roman" w:cs="Times New Roman"/>
          <w:sz w:val="24"/>
          <w:szCs w:val="24"/>
        </w:rPr>
      </w:pPr>
      <w:r w:rsidRPr="0056206F">
        <w:rPr>
          <w:rFonts w:ascii="Times New Roman" w:hAnsi="Times New Roman" w:cs="Times New Roman"/>
          <w:sz w:val="24"/>
          <w:szCs w:val="24"/>
        </w:rPr>
        <w:t>В рамках литературного обзора рекомендуется проводить сравнительный анализ существующих точек на проблему.</w:t>
      </w:r>
    </w:p>
    <w:p w14:paraId="189BF54C" w14:textId="33533460" w:rsidR="0056206F" w:rsidRDefault="0056206F" w:rsidP="0056206F">
      <w:pPr>
        <w:jc w:val="both"/>
        <w:rPr>
          <w:rFonts w:ascii="Times New Roman" w:hAnsi="Times New Roman" w:cs="Times New Roman"/>
          <w:sz w:val="24"/>
          <w:szCs w:val="24"/>
        </w:rPr>
      </w:pPr>
      <w:r>
        <w:rPr>
          <w:rFonts w:ascii="Times New Roman" w:hAnsi="Times New Roman" w:cs="Times New Roman"/>
          <w:sz w:val="24"/>
          <w:szCs w:val="24"/>
        </w:rPr>
        <w:t xml:space="preserve"> Требования такие же как к 1 главе ВКР и по оригинальности тоже.</w:t>
      </w:r>
    </w:p>
    <w:p w14:paraId="1A0D1F98" w14:textId="36C3AA5C" w:rsidR="00106428" w:rsidRDefault="00106428" w:rsidP="00106428">
      <w:pPr>
        <w:jc w:val="center"/>
        <w:rPr>
          <w:rFonts w:ascii="Times New Roman" w:hAnsi="Times New Roman" w:cs="Times New Roman"/>
          <w:sz w:val="24"/>
          <w:szCs w:val="24"/>
        </w:rPr>
      </w:pPr>
    </w:p>
    <w:p w14:paraId="0B6B5E12" w14:textId="77777777" w:rsidR="00106428" w:rsidRDefault="00106428" w:rsidP="00106428">
      <w:pPr>
        <w:jc w:val="center"/>
        <w:rPr>
          <w:rFonts w:ascii="Times New Roman" w:hAnsi="Times New Roman" w:cs="Times New Roman"/>
          <w:sz w:val="24"/>
          <w:szCs w:val="24"/>
        </w:rPr>
      </w:pPr>
    </w:p>
    <w:p w14:paraId="1ECDD437" w14:textId="6FA49AEE" w:rsidR="00106428" w:rsidRPr="001C2C6E" w:rsidRDefault="00106428" w:rsidP="00106428">
      <w:pPr>
        <w:jc w:val="center"/>
        <w:rPr>
          <w:rFonts w:ascii="Times New Roman" w:hAnsi="Times New Roman" w:cs="Times New Roman"/>
          <w:b/>
          <w:bCs/>
          <w:color w:val="FF0000"/>
          <w:sz w:val="24"/>
          <w:szCs w:val="24"/>
        </w:rPr>
      </w:pPr>
      <w:r w:rsidRPr="00106428">
        <w:rPr>
          <w:rFonts w:ascii="Times New Roman" w:hAnsi="Times New Roman" w:cs="Times New Roman"/>
          <w:b/>
          <w:bCs/>
          <w:color w:val="FF0000"/>
          <w:sz w:val="24"/>
          <w:szCs w:val="24"/>
        </w:rPr>
        <w:t>ПРИМЕР ЭССЕ</w:t>
      </w:r>
      <w:r w:rsidR="001C2C6E">
        <w:rPr>
          <w:rFonts w:ascii="Times New Roman" w:hAnsi="Times New Roman" w:cs="Times New Roman"/>
          <w:b/>
          <w:bCs/>
          <w:color w:val="FF0000"/>
          <w:sz w:val="24"/>
          <w:szCs w:val="24"/>
        </w:rPr>
        <w:t xml:space="preserve"> (только количество источников для ВКР 45 на русском, 8 на </w:t>
      </w:r>
      <w:proofErr w:type="spellStart"/>
      <w:r w:rsidR="001C2C6E">
        <w:rPr>
          <w:rFonts w:ascii="Times New Roman" w:hAnsi="Times New Roman" w:cs="Times New Roman"/>
          <w:b/>
          <w:bCs/>
          <w:color w:val="FF0000"/>
          <w:sz w:val="24"/>
          <w:szCs w:val="24"/>
        </w:rPr>
        <w:t>англ</w:t>
      </w:r>
      <w:proofErr w:type="spellEnd"/>
      <w:r w:rsidR="001C2C6E">
        <w:rPr>
          <w:rFonts w:ascii="Times New Roman" w:hAnsi="Times New Roman" w:cs="Times New Roman"/>
          <w:b/>
          <w:bCs/>
          <w:color w:val="FF0000"/>
          <w:sz w:val="24"/>
          <w:szCs w:val="24"/>
        </w:rPr>
        <w:t>)</w:t>
      </w:r>
    </w:p>
    <w:p w14:paraId="4E2F65B5" w14:textId="0B5DAF2B" w:rsidR="00106428" w:rsidRDefault="00106428" w:rsidP="0056206F">
      <w:pPr>
        <w:jc w:val="both"/>
        <w:rPr>
          <w:rFonts w:ascii="Times New Roman" w:hAnsi="Times New Roman" w:cs="Times New Roman"/>
          <w:sz w:val="24"/>
          <w:szCs w:val="24"/>
        </w:rPr>
      </w:pPr>
    </w:p>
    <w:p w14:paraId="586F2335" w14:textId="77777777" w:rsidR="00106428" w:rsidRPr="00106428" w:rsidRDefault="00106428" w:rsidP="00106428">
      <w:pPr>
        <w:spacing w:after="0" w:line="360" w:lineRule="auto"/>
        <w:ind w:firstLine="709"/>
        <w:jc w:val="both"/>
        <w:rPr>
          <w:rFonts w:ascii="Times New Roman" w:hAnsi="Times New Roman" w:cs="Times New Roman"/>
          <w:sz w:val="28"/>
        </w:rPr>
      </w:pPr>
      <w:r w:rsidRPr="00106428">
        <w:rPr>
          <w:rFonts w:ascii="Times New Roman" w:hAnsi="Times New Roman" w:cs="Times New Roman"/>
          <w:sz w:val="28"/>
        </w:rPr>
        <w:t xml:space="preserve">Темы работы чрезвычайно актуальна в последние годы, когда пенсионная система в очередной раз была реформирована путем повышения пенсионного возраста на 5 лет. Однако эта реформа не решила всех проблем. На сегодняшний день, трансферты из федерального бюджета на поддержку Пенсионного Фонда составляют более 10% от доходов федерального бюджета. Доля трансфертов составляет более 30% от доходов Пенсионного Фонда. Кроме того, средний размер страховой пенсии по старости составляет 18 521 рубль. Российские пенсионеры вынуждены жить в условиях жесткой экономии на продуктах питания. </w:t>
      </w:r>
    </w:p>
    <w:p w14:paraId="3AA69487" w14:textId="77777777" w:rsidR="00106428" w:rsidRPr="00106428" w:rsidRDefault="00106428" w:rsidP="00106428">
      <w:pPr>
        <w:spacing w:line="360" w:lineRule="auto"/>
        <w:ind w:firstLine="709"/>
        <w:jc w:val="both"/>
        <w:rPr>
          <w:rFonts w:ascii="Times New Roman" w:hAnsi="Times New Roman" w:cs="Times New Roman"/>
          <w:sz w:val="28"/>
        </w:rPr>
      </w:pPr>
      <w:r w:rsidRPr="00106428">
        <w:rPr>
          <w:rFonts w:ascii="Times New Roman" w:hAnsi="Times New Roman" w:cs="Times New Roman"/>
          <w:sz w:val="28"/>
        </w:rPr>
        <w:t>Такая ситуация негативно влияет как на экономику страны, так и на уровень жизни в ней. Решением данной ситуации может послужить развитие негосударственных пенсионных фондов. Развитие этих организаций решит проблему низких пенсий, снизит нагрузку на федеральный бюджет в части трансфертов в ПФР, а также наполнит финансовый рынок «длинными деньгами».</w:t>
      </w:r>
    </w:p>
    <w:p w14:paraId="239CC494" w14:textId="77777777" w:rsidR="00106428" w:rsidRPr="00106428" w:rsidRDefault="00106428" w:rsidP="00106428">
      <w:pPr>
        <w:spacing w:after="0" w:line="360" w:lineRule="auto"/>
        <w:ind w:firstLine="709"/>
        <w:jc w:val="both"/>
        <w:rPr>
          <w:rFonts w:ascii="Times New Roman" w:hAnsi="Times New Roman" w:cs="Times New Roman"/>
          <w:sz w:val="28"/>
        </w:rPr>
      </w:pPr>
      <w:r w:rsidRPr="00106428">
        <w:rPr>
          <w:rFonts w:ascii="Times New Roman" w:hAnsi="Times New Roman" w:cs="Times New Roman"/>
          <w:sz w:val="28"/>
        </w:rPr>
        <w:lastRenderedPageBreak/>
        <w:t xml:space="preserve">Различные теоретические аспекты деятельности негосударственных пенсионных фондов изучались многими российскими и зарубежными исследователями. </w:t>
      </w:r>
    </w:p>
    <w:p w14:paraId="502E2AD2" w14:textId="77777777" w:rsidR="00106428" w:rsidRPr="00106428" w:rsidRDefault="00106428" w:rsidP="00106428">
      <w:pPr>
        <w:spacing w:after="0" w:line="360" w:lineRule="auto"/>
        <w:ind w:firstLine="709"/>
        <w:jc w:val="both"/>
        <w:rPr>
          <w:rFonts w:ascii="Times New Roman" w:hAnsi="Times New Roman" w:cs="Times New Roman"/>
          <w:color w:val="FF0000"/>
          <w:sz w:val="28"/>
          <w:szCs w:val="28"/>
        </w:rPr>
      </w:pPr>
      <w:r w:rsidRPr="00106428">
        <w:rPr>
          <w:rFonts w:ascii="Times New Roman" w:hAnsi="Times New Roman" w:cs="Times New Roman"/>
          <w:sz w:val="28"/>
        </w:rPr>
        <w:t xml:space="preserve">Начинать исследование стоит с рассмотрения понятия негосударственного пенсионного фонда. Все исследователи сходятся во мнении, что потенциал НПФ может оказывать положительное влияние не только на пенсионную систему, но и на всю экономику. Дискуссия при трактовке этого понятия строится на неопределенности среди исследователей по поводу организационно-правовой формы этих организаций. Часть ученых при определении понятия НПФ основывается на правовом понимании сущности фонда. </w:t>
      </w:r>
      <w:r w:rsidRPr="00106428">
        <w:rPr>
          <w:rFonts w:ascii="Times New Roman" w:hAnsi="Times New Roman" w:cs="Times New Roman"/>
          <w:sz w:val="28"/>
          <w:szCs w:val="28"/>
        </w:rPr>
        <w:t xml:space="preserve">Так, </w:t>
      </w:r>
      <w:proofErr w:type="spellStart"/>
      <w:r w:rsidRPr="00106428">
        <w:rPr>
          <w:rFonts w:ascii="Times New Roman" w:hAnsi="Times New Roman" w:cs="Times New Roman"/>
          <w:sz w:val="28"/>
          <w:szCs w:val="28"/>
        </w:rPr>
        <w:t>Финогенова</w:t>
      </w:r>
      <w:proofErr w:type="spellEnd"/>
      <w:r w:rsidRPr="00106428">
        <w:rPr>
          <w:rFonts w:ascii="Times New Roman" w:hAnsi="Times New Roman" w:cs="Times New Roman"/>
          <w:sz w:val="28"/>
          <w:szCs w:val="28"/>
        </w:rPr>
        <w:t xml:space="preserve"> Ю.Ю. </w:t>
      </w:r>
      <w:r w:rsidRPr="00106428">
        <w:rPr>
          <w:rFonts w:ascii="Times New Roman" w:hAnsi="Times New Roman" w:cs="Times New Roman"/>
          <w:color w:val="FF0000"/>
          <w:sz w:val="28"/>
          <w:szCs w:val="28"/>
        </w:rPr>
        <w:t xml:space="preserve"> </w:t>
      </w:r>
      <w:r w:rsidRPr="00106428">
        <w:rPr>
          <w:rFonts w:ascii="Times New Roman" w:hAnsi="Times New Roman" w:cs="Times New Roman"/>
          <w:sz w:val="28"/>
          <w:szCs w:val="28"/>
        </w:rPr>
        <w:t>дает определение НПФ как особой организационно-правовой формы некоммерческой организации социального обеспечения, исключительным видом деятельности которой выступает негосударственное пенсионное обеспечение участников фонда</w:t>
      </w:r>
      <w:r w:rsidRPr="00106428">
        <w:rPr>
          <w:rStyle w:val="a6"/>
          <w:rFonts w:ascii="Times New Roman" w:hAnsi="Times New Roman" w:cs="Times New Roman"/>
          <w:sz w:val="28"/>
          <w:szCs w:val="28"/>
        </w:rPr>
        <w:footnoteReference w:id="1"/>
      </w:r>
      <w:r w:rsidRPr="00106428">
        <w:rPr>
          <w:rFonts w:ascii="Times New Roman" w:hAnsi="Times New Roman" w:cs="Times New Roman"/>
          <w:sz w:val="28"/>
          <w:szCs w:val="28"/>
        </w:rPr>
        <w:t xml:space="preserve">. </w:t>
      </w:r>
    </w:p>
    <w:p w14:paraId="162D97F4" w14:textId="77777777" w:rsidR="00106428" w:rsidRPr="00106428" w:rsidRDefault="00106428" w:rsidP="00106428">
      <w:pPr>
        <w:spacing w:after="0" w:line="360" w:lineRule="auto"/>
        <w:ind w:firstLine="709"/>
        <w:jc w:val="both"/>
        <w:rPr>
          <w:rFonts w:ascii="Times New Roman" w:hAnsi="Times New Roman" w:cs="Times New Roman"/>
          <w:sz w:val="28"/>
        </w:rPr>
      </w:pPr>
      <w:r w:rsidRPr="00106428">
        <w:rPr>
          <w:rFonts w:ascii="Times New Roman" w:hAnsi="Times New Roman" w:cs="Times New Roman"/>
          <w:sz w:val="28"/>
        </w:rPr>
        <w:t xml:space="preserve">Другая часть исследователей при трактовке понятия основывается на теории институционализма. Так, </w:t>
      </w:r>
      <w:proofErr w:type="spellStart"/>
      <w:r w:rsidRPr="00106428">
        <w:rPr>
          <w:rFonts w:ascii="Times New Roman" w:hAnsi="Times New Roman" w:cs="Times New Roman"/>
          <w:sz w:val="28"/>
        </w:rPr>
        <w:t>Ниязбаева</w:t>
      </w:r>
      <w:proofErr w:type="spellEnd"/>
      <w:r w:rsidRPr="00106428">
        <w:rPr>
          <w:rFonts w:ascii="Times New Roman" w:hAnsi="Times New Roman" w:cs="Times New Roman"/>
          <w:sz w:val="28"/>
        </w:rPr>
        <w:t xml:space="preserve"> дает следующее определение НПФ: негосударственный пенсионный фонд - финансовый институт, осуществляющий аккумулирование денежных средств участников негосударственного пенсионного обеспечения на их индивидуальных пенсионных счетах и последующие ежемесячные пенсионные выплаты гражданам с наступлением их прав на негосударственную пенсию, выполняя при этом социальную функцию</w:t>
      </w:r>
      <w:r w:rsidRPr="00106428">
        <w:rPr>
          <w:rStyle w:val="a6"/>
          <w:rFonts w:ascii="Times New Roman" w:hAnsi="Times New Roman" w:cs="Times New Roman"/>
          <w:sz w:val="28"/>
        </w:rPr>
        <w:footnoteReference w:id="2"/>
      </w:r>
      <w:r w:rsidRPr="00106428">
        <w:rPr>
          <w:rFonts w:ascii="Times New Roman" w:hAnsi="Times New Roman" w:cs="Times New Roman"/>
          <w:sz w:val="28"/>
        </w:rPr>
        <w:t>.</w:t>
      </w:r>
    </w:p>
    <w:p w14:paraId="6E2B2110" w14:textId="77777777" w:rsidR="00106428" w:rsidRPr="00106428" w:rsidRDefault="00106428" w:rsidP="00106428">
      <w:pPr>
        <w:spacing w:line="360" w:lineRule="auto"/>
        <w:ind w:firstLine="709"/>
        <w:jc w:val="both"/>
        <w:rPr>
          <w:rFonts w:ascii="Times New Roman" w:hAnsi="Times New Roman" w:cs="Times New Roman"/>
          <w:sz w:val="28"/>
        </w:rPr>
      </w:pPr>
      <w:r w:rsidRPr="00106428">
        <w:rPr>
          <w:rFonts w:ascii="Times New Roman" w:hAnsi="Times New Roman" w:cs="Times New Roman"/>
          <w:sz w:val="28"/>
        </w:rPr>
        <w:t>Различные подходы к определению НПФ отражены в таблице 1.</w:t>
      </w:r>
    </w:p>
    <w:p w14:paraId="07A05036" w14:textId="77777777" w:rsidR="00106428" w:rsidRPr="00106428" w:rsidRDefault="00106428" w:rsidP="00106428">
      <w:pPr>
        <w:spacing w:line="360" w:lineRule="auto"/>
        <w:jc w:val="both"/>
        <w:rPr>
          <w:rFonts w:ascii="Times New Roman" w:hAnsi="Times New Roman" w:cs="Times New Roman"/>
          <w:sz w:val="28"/>
        </w:rPr>
      </w:pPr>
      <w:r w:rsidRPr="00106428">
        <w:rPr>
          <w:rFonts w:ascii="Times New Roman" w:hAnsi="Times New Roman" w:cs="Times New Roman"/>
          <w:sz w:val="28"/>
        </w:rPr>
        <w:t>Таблица 1– Сравнительная таблица взглядов различных исследователей на определение термина «негосударственный пенсионный фонд»</w:t>
      </w:r>
    </w:p>
    <w:tbl>
      <w:tblPr>
        <w:tblStyle w:val="a7"/>
        <w:tblW w:w="0" w:type="auto"/>
        <w:tblInd w:w="0" w:type="dxa"/>
        <w:tblLook w:val="04A0" w:firstRow="1" w:lastRow="0" w:firstColumn="1" w:lastColumn="0" w:noHBand="0" w:noVBand="1"/>
      </w:tblPr>
      <w:tblGrid>
        <w:gridCol w:w="2189"/>
        <w:gridCol w:w="4469"/>
        <w:gridCol w:w="2687"/>
      </w:tblGrid>
      <w:tr w:rsidR="00106428" w:rsidRPr="00106428" w14:paraId="24E89759" w14:textId="77777777" w:rsidTr="00106428">
        <w:tc>
          <w:tcPr>
            <w:tcW w:w="2189" w:type="dxa"/>
            <w:tcBorders>
              <w:top w:val="single" w:sz="4" w:space="0" w:color="auto"/>
              <w:left w:val="single" w:sz="4" w:space="0" w:color="auto"/>
              <w:bottom w:val="single" w:sz="4" w:space="0" w:color="auto"/>
              <w:right w:val="single" w:sz="4" w:space="0" w:color="auto"/>
            </w:tcBorders>
            <w:hideMark/>
          </w:tcPr>
          <w:p w14:paraId="2C31E296" w14:textId="77777777" w:rsidR="00106428" w:rsidRPr="00106428" w:rsidRDefault="00106428">
            <w:pPr>
              <w:spacing w:line="360" w:lineRule="auto"/>
              <w:jc w:val="both"/>
              <w:rPr>
                <w:rFonts w:ascii="Times New Roman" w:hAnsi="Times New Roman" w:cs="Times New Roman"/>
                <w:sz w:val="24"/>
              </w:rPr>
            </w:pPr>
            <w:r w:rsidRPr="00106428">
              <w:rPr>
                <w:rFonts w:ascii="Times New Roman" w:hAnsi="Times New Roman" w:cs="Times New Roman"/>
                <w:sz w:val="24"/>
              </w:rPr>
              <w:t>ФИО автора</w:t>
            </w:r>
          </w:p>
        </w:tc>
        <w:tc>
          <w:tcPr>
            <w:tcW w:w="4469" w:type="dxa"/>
            <w:tcBorders>
              <w:top w:val="single" w:sz="4" w:space="0" w:color="auto"/>
              <w:left w:val="single" w:sz="4" w:space="0" w:color="auto"/>
              <w:bottom w:val="single" w:sz="4" w:space="0" w:color="auto"/>
              <w:right w:val="single" w:sz="4" w:space="0" w:color="auto"/>
            </w:tcBorders>
            <w:hideMark/>
          </w:tcPr>
          <w:p w14:paraId="10CE6C76" w14:textId="77777777" w:rsidR="00106428" w:rsidRPr="00106428" w:rsidRDefault="00106428">
            <w:pPr>
              <w:spacing w:line="360" w:lineRule="auto"/>
              <w:jc w:val="both"/>
              <w:rPr>
                <w:rFonts w:ascii="Times New Roman" w:hAnsi="Times New Roman" w:cs="Times New Roman"/>
                <w:sz w:val="24"/>
              </w:rPr>
            </w:pPr>
            <w:r w:rsidRPr="00106428">
              <w:rPr>
                <w:rFonts w:ascii="Times New Roman" w:hAnsi="Times New Roman" w:cs="Times New Roman"/>
                <w:sz w:val="24"/>
              </w:rPr>
              <w:t xml:space="preserve">Определение </w:t>
            </w:r>
          </w:p>
        </w:tc>
        <w:tc>
          <w:tcPr>
            <w:tcW w:w="2687" w:type="dxa"/>
            <w:tcBorders>
              <w:top w:val="single" w:sz="4" w:space="0" w:color="auto"/>
              <w:left w:val="single" w:sz="4" w:space="0" w:color="auto"/>
              <w:bottom w:val="single" w:sz="4" w:space="0" w:color="auto"/>
              <w:right w:val="single" w:sz="4" w:space="0" w:color="auto"/>
            </w:tcBorders>
            <w:hideMark/>
          </w:tcPr>
          <w:p w14:paraId="5A23A7C8" w14:textId="77777777" w:rsidR="00106428" w:rsidRPr="00106428" w:rsidRDefault="00106428">
            <w:pPr>
              <w:spacing w:line="360" w:lineRule="auto"/>
              <w:jc w:val="both"/>
              <w:rPr>
                <w:rFonts w:ascii="Times New Roman" w:hAnsi="Times New Roman" w:cs="Times New Roman"/>
                <w:sz w:val="24"/>
              </w:rPr>
            </w:pPr>
            <w:r w:rsidRPr="00106428">
              <w:rPr>
                <w:rFonts w:ascii="Times New Roman" w:hAnsi="Times New Roman" w:cs="Times New Roman"/>
                <w:sz w:val="24"/>
              </w:rPr>
              <w:t>Подход</w:t>
            </w:r>
          </w:p>
        </w:tc>
      </w:tr>
      <w:tr w:rsidR="00106428" w:rsidRPr="00106428" w14:paraId="12C31AB0" w14:textId="77777777" w:rsidTr="00106428">
        <w:tc>
          <w:tcPr>
            <w:tcW w:w="2189" w:type="dxa"/>
            <w:tcBorders>
              <w:top w:val="single" w:sz="4" w:space="0" w:color="auto"/>
              <w:left w:val="single" w:sz="4" w:space="0" w:color="auto"/>
              <w:bottom w:val="single" w:sz="4" w:space="0" w:color="auto"/>
              <w:right w:val="single" w:sz="4" w:space="0" w:color="auto"/>
            </w:tcBorders>
            <w:hideMark/>
          </w:tcPr>
          <w:p w14:paraId="0A02F632" w14:textId="77777777" w:rsidR="00106428" w:rsidRPr="00106428" w:rsidRDefault="00106428">
            <w:pPr>
              <w:spacing w:line="360" w:lineRule="auto"/>
              <w:jc w:val="both"/>
              <w:rPr>
                <w:rFonts w:ascii="Times New Roman" w:hAnsi="Times New Roman" w:cs="Times New Roman"/>
                <w:sz w:val="24"/>
              </w:rPr>
            </w:pPr>
            <w:proofErr w:type="spellStart"/>
            <w:r w:rsidRPr="00106428">
              <w:rPr>
                <w:rFonts w:ascii="Times New Roman" w:hAnsi="Times New Roman" w:cs="Times New Roman"/>
                <w:sz w:val="24"/>
                <w:szCs w:val="28"/>
              </w:rPr>
              <w:lastRenderedPageBreak/>
              <w:t>Финогенова</w:t>
            </w:r>
            <w:proofErr w:type="spellEnd"/>
            <w:r w:rsidRPr="00106428">
              <w:rPr>
                <w:rFonts w:ascii="Times New Roman" w:hAnsi="Times New Roman" w:cs="Times New Roman"/>
                <w:sz w:val="24"/>
                <w:szCs w:val="28"/>
              </w:rPr>
              <w:t xml:space="preserve"> Ю.Ю</w:t>
            </w:r>
          </w:p>
        </w:tc>
        <w:tc>
          <w:tcPr>
            <w:tcW w:w="4469" w:type="dxa"/>
            <w:tcBorders>
              <w:top w:val="single" w:sz="4" w:space="0" w:color="auto"/>
              <w:left w:val="single" w:sz="4" w:space="0" w:color="auto"/>
              <w:bottom w:val="single" w:sz="4" w:space="0" w:color="auto"/>
              <w:right w:val="single" w:sz="4" w:space="0" w:color="auto"/>
            </w:tcBorders>
            <w:hideMark/>
          </w:tcPr>
          <w:p w14:paraId="2EAB8CDE" w14:textId="77777777" w:rsidR="00106428" w:rsidRPr="00106428" w:rsidRDefault="00106428">
            <w:pPr>
              <w:spacing w:line="360" w:lineRule="auto"/>
              <w:jc w:val="both"/>
              <w:rPr>
                <w:rFonts w:ascii="Times New Roman" w:hAnsi="Times New Roman" w:cs="Times New Roman"/>
                <w:sz w:val="24"/>
              </w:rPr>
            </w:pPr>
            <w:r w:rsidRPr="00106428">
              <w:rPr>
                <w:rFonts w:ascii="Times New Roman" w:hAnsi="Times New Roman" w:cs="Times New Roman"/>
                <w:sz w:val="24"/>
                <w:szCs w:val="28"/>
              </w:rPr>
              <w:t>Особая организационно-правовая форма некоммерческой организации социального обеспечения, исключительным видом деятельности которой выступает негосударственное пенсионное обеспечение участников фонда</w:t>
            </w:r>
          </w:p>
        </w:tc>
        <w:tc>
          <w:tcPr>
            <w:tcW w:w="2687" w:type="dxa"/>
            <w:tcBorders>
              <w:top w:val="single" w:sz="4" w:space="0" w:color="auto"/>
              <w:left w:val="single" w:sz="4" w:space="0" w:color="auto"/>
              <w:bottom w:val="single" w:sz="4" w:space="0" w:color="auto"/>
              <w:right w:val="single" w:sz="4" w:space="0" w:color="auto"/>
            </w:tcBorders>
            <w:hideMark/>
          </w:tcPr>
          <w:p w14:paraId="0647FD0A" w14:textId="77777777" w:rsidR="00106428" w:rsidRPr="00106428" w:rsidRDefault="00106428">
            <w:pPr>
              <w:spacing w:line="360" w:lineRule="auto"/>
              <w:jc w:val="both"/>
              <w:rPr>
                <w:rFonts w:ascii="Times New Roman" w:hAnsi="Times New Roman" w:cs="Times New Roman"/>
                <w:sz w:val="24"/>
                <w:szCs w:val="28"/>
              </w:rPr>
            </w:pPr>
            <w:r w:rsidRPr="00106428">
              <w:rPr>
                <w:rFonts w:ascii="Times New Roman" w:hAnsi="Times New Roman" w:cs="Times New Roman"/>
                <w:sz w:val="24"/>
              </w:rPr>
              <w:t>Правовое понимание сущности фонда</w:t>
            </w:r>
          </w:p>
        </w:tc>
      </w:tr>
      <w:tr w:rsidR="00106428" w:rsidRPr="00106428" w14:paraId="257D89A0" w14:textId="77777777" w:rsidTr="00106428">
        <w:tc>
          <w:tcPr>
            <w:tcW w:w="2189" w:type="dxa"/>
            <w:tcBorders>
              <w:top w:val="single" w:sz="4" w:space="0" w:color="auto"/>
              <w:left w:val="single" w:sz="4" w:space="0" w:color="auto"/>
              <w:bottom w:val="single" w:sz="4" w:space="0" w:color="auto"/>
              <w:right w:val="single" w:sz="4" w:space="0" w:color="auto"/>
            </w:tcBorders>
            <w:hideMark/>
          </w:tcPr>
          <w:p w14:paraId="61E3924D" w14:textId="77777777" w:rsidR="00106428" w:rsidRPr="00106428" w:rsidRDefault="00106428">
            <w:pPr>
              <w:tabs>
                <w:tab w:val="right" w:pos="2331"/>
              </w:tabs>
              <w:spacing w:line="360" w:lineRule="auto"/>
              <w:jc w:val="both"/>
              <w:rPr>
                <w:rFonts w:ascii="Times New Roman" w:hAnsi="Times New Roman" w:cs="Times New Roman"/>
                <w:sz w:val="24"/>
              </w:rPr>
            </w:pPr>
            <w:proofErr w:type="spellStart"/>
            <w:r w:rsidRPr="00106428">
              <w:rPr>
                <w:rFonts w:ascii="Times New Roman" w:hAnsi="Times New Roman" w:cs="Times New Roman"/>
                <w:sz w:val="24"/>
              </w:rPr>
              <w:t>Ниязбаева</w:t>
            </w:r>
            <w:proofErr w:type="spellEnd"/>
            <w:r w:rsidRPr="00106428">
              <w:rPr>
                <w:rFonts w:ascii="Times New Roman" w:hAnsi="Times New Roman" w:cs="Times New Roman"/>
                <w:sz w:val="24"/>
              </w:rPr>
              <w:t xml:space="preserve"> </w:t>
            </w:r>
            <w:r w:rsidRPr="00106428">
              <w:rPr>
                <w:rFonts w:ascii="Times New Roman" w:hAnsi="Times New Roman" w:cs="Times New Roman"/>
                <w:sz w:val="24"/>
                <w:lang w:val="en-US"/>
              </w:rPr>
              <w:t xml:space="preserve"> А.А.</w:t>
            </w:r>
          </w:p>
        </w:tc>
        <w:tc>
          <w:tcPr>
            <w:tcW w:w="4469" w:type="dxa"/>
            <w:tcBorders>
              <w:top w:val="single" w:sz="4" w:space="0" w:color="auto"/>
              <w:left w:val="single" w:sz="4" w:space="0" w:color="auto"/>
              <w:bottom w:val="single" w:sz="4" w:space="0" w:color="auto"/>
              <w:right w:val="single" w:sz="4" w:space="0" w:color="auto"/>
            </w:tcBorders>
            <w:hideMark/>
          </w:tcPr>
          <w:p w14:paraId="72706EEF" w14:textId="77777777" w:rsidR="00106428" w:rsidRPr="00106428" w:rsidRDefault="00106428">
            <w:pPr>
              <w:spacing w:line="360" w:lineRule="auto"/>
              <w:jc w:val="both"/>
              <w:rPr>
                <w:rFonts w:ascii="Times New Roman" w:hAnsi="Times New Roman" w:cs="Times New Roman"/>
                <w:sz w:val="24"/>
              </w:rPr>
            </w:pPr>
            <w:r w:rsidRPr="00106428">
              <w:rPr>
                <w:rFonts w:ascii="Times New Roman" w:hAnsi="Times New Roman" w:cs="Times New Roman"/>
                <w:sz w:val="24"/>
              </w:rPr>
              <w:t>финансовый институт, осуществляющий аккумулирование денежных средств участников негосударственного пенсионного обеспечения на их индивидуальных пенсионных счетах и последующие ежемесячные пенсионные выплаты гражданам с наступлением их прав на негосударственную пенсию, выполняя при этом социальную функцию</w:t>
            </w:r>
          </w:p>
        </w:tc>
        <w:tc>
          <w:tcPr>
            <w:tcW w:w="2687" w:type="dxa"/>
            <w:tcBorders>
              <w:top w:val="single" w:sz="4" w:space="0" w:color="auto"/>
              <w:left w:val="single" w:sz="4" w:space="0" w:color="auto"/>
              <w:bottom w:val="single" w:sz="4" w:space="0" w:color="auto"/>
              <w:right w:val="single" w:sz="4" w:space="0" w:color="auto"/>
            </w:tcBorders>
            <w:hideMark/>
          </w:tcPr>
          <w:p w14:paraId="5E5CB44B" w14:textId="77777777" w:rsidR="00106428" w:rsidRPr="00106428" w:rsidRDefault="00106428">
            <w:pPr>
              <w:spacing w:line="360" w:lineRule="auto"/>
              <w:jc w:val="both"/>
              <w:rPr>
                <w:rFonts w:ascii="Times New Roman" w:hAnsi="Times New Roman" w:cs="Times New Roman"/>
                <w:sz w:val="24"/>
              </w:rPr>
            </w:pPr>
            <w:r w:rsidRPr="00106428">
              <w:rPr>
                <w:rFonts w:ascii="Times New Roman" w:hAnsi="Times New Roman" w:cs="Times New Roman"/>
                <w:sz w:val="24"/>
              </w:rPr>
              <w:t>Теория</w:t>
            </w:r>
            <w:r w:rsidRPr="00106428">
              <w:rPr>
                <w:rFonts w:ascii="Times New Roman" w:hAnsi="Times New Roman" w:cs="Times New Roman"/>
                <w:sz w:val="24"/>
              </w:rPr>
              <w:tab/>
              <w:t xml:space="preserve"> институционализма</w:t>
            </w:r>
          </w:p>
        </w:tc>
      </w:tr>
    </w:tbl>
    <w:p w14:paraId="5C157393" w14:textId="77777777" w:rsidR="00106428" w:rsidRPr="00106428" w:rsidRDefault="00106428" w:rsidP="00106428">
      <w:pPr>
        <w:spacing w:line="360" w:lineRule="auto"/>
        <w:ind w:firstLine="709"/>
        <w:jc w:val="both"/>
        <w:rPr>
          <w:rFonts w:ascii="Times New Roman" w:eastAsia="Times New Roman" w:hAnsi="Times New Roman" w:cs="Times New Roman"/>
          <w:sz w:val="24"/>
          <w:lang w:eastAsia="ru-RU" w:bidi="ru-RU"/>
        </w:rPr>
      </w:pPr>
    </w:p>
    <w:p w14:paraId="3DFFADF0" w14:textId="77777777" w:rsidR="00106428" w:rsidRPr="00106428" w:rsidRDefault="00106428" w:rsidP="00106428">
      <w:pPr>
        <w:spacing w:line="360" w:lineRule="auto"/>
        <w:ind w:firstLine="709"/>
        <w:jc w:val="both"/>
        <w:rPr>
          <w:rFonts w:ascii="Times New Roman" w:hAnsi="Times New Roman" w:cs="Times New Roman"/>
          <w:sz w:val="28"/>
          <w:szCs w:val="28"/>
        </w:rPr>
      </w:pPr>
      <w:r w:rsidRPr="00106428">
        <w:rPr>
          <w:rFonts w:ascii="Times New Roman" w:hAnsi="Times New Roman" w:cs="Times New Roman"/>
          <w:sz w:val="28"/>
        </w:rPr>
        <w:t xml:space="preserve">Следует отметить наличие недостатков в позициях этих авторов, так как в них не указывается инвестиционная деятельность фондов. </w:t>
      </w:r>
    </w:p>
    <w:p w14:paraId="14C09A5F" w14:textId="77777777" w:rsidR="00106428" w:rsidRPr="00106428" w:rsidRDefault="00106428" w:rsidP="00106428">
      <w:pPr>
        <w:spacing w:after="0" w:line="360" w:lineRule="auto"/>
        <w:ind w:firstLine="709"/>
        <w:jc w:val="both"/>
        <w:rPr>
          <w:rFonts w:ascii="Times New Roman" w:hAnsi="Times New Roman" w:cs="Times New Roman"/>
          <w:sz w:val="28"/>
        </w:rPr>
      </w:pPr>
      <w:r w:rsidRPr="00106428">
        <w:rPr>
          <w:rFonts w:ascii="Times New Roman" w:hAnsi="Times New Roman" w:cs="Times New Roman"/>
          <w:sz w:val="28"/>
        </w:rPr>
        <w:t>Для того чтобы более подробно разобраться в специфике деятельности НПФ необходимо определить их функции. На сегодняшний день авторы-исследователи выделяют разные функции, которые выполняют эти фонды. Это объясняется дискуссией по поводу выполнения организацией отдельных функций.</w:t>
      </w:r>
    </w:p>
    <w:p w14:paraId="3BEEDB3F" w14:textId="77777777" w:rsidR="00106428" w:rsidRPr="00106428" w:rsidRDefault="00106428" w:rsidP="00106428">
      <w:pPr>
        <w:spacing w:line="360" w:lineRule="auto"/>
        <w:ind w:firstLine="709"/>
        <w:jc w:val="both"/>
        <w:rPr>
          <w:rFonts w:ascii="Times New Roman" w:hAnsi="Times New Roman" w:cs="Times New Roman"/>
          <w:sz w:val="28"/>
        </w:rPr>
      </w:pPr>
      <w:r w:rsidRPr="00106428">
        <w:rPr>
          <w:rFonts w:ascii="Times New Roman" w:hAnsi="Times New Roman" w:cs="Times New Roman"/>
          <w:sz w:val="28"/>
        </w:rPr>
        <w:t xml:space="preserve">В своей диссертации на соискание степени кандидата </w:t>
      </w:r>
      <w:proofErr w:type="spellStart"/>
      <w:r w:rsidRPr="00106428">
        <w:rPr>
          <w:rFonts w:ascii="Times New Roman" w:hAnsi="Times New Roman" w:cs="Times New Roman"/>
          <w:sz w:val="28"/>
        </w:rPr>
        <w:t>Хачумова</w:t>
      </w:r>
      <w:proofErr w:type="spellEnd"/>
      <w:r w:rsidRPr="00106428">
        <w:rPr>
          <w:rFonts w:ascii="Times New Roman" w:hAnsi="Times New Roman" w:cs="Times New Roman"/>
          <w:sz w:val="28"/>
        </w:rPr>
        <w:t xml:space="preserve"> Л.А определяет следующие функции НПФ: социальная, страховая, сберегательная, инвестиционная и функция конкуренции на рынке</w:t>
      </w:r>
      <w:r w:rsidRPr="00106428">
        <w:rPr>
          <w:rStyle w:val="a6"/>
          <w:rFonts w:ascii="Times New Roman" w:hAnsi="Times New Roman" w:cs="Times New Roman"/>
          <w:sz w:val="28"/>
        </w:rPr>
        <w:footnoteReference w:id="3"/>
      </w:r>
      <w:r w:rsidRPr="00106428">
        <w:rPr>
          <w:rFonts w:ascii="Times New Roman" w:hAnsi="Times New Roman" w:cs="Times New Roman"/>
          <w:sz w:val="28"/>
        </w:rPr>
        <w:t>.</w:t>
      </w:r>
    </w:p>
    <w:p w14:paraId="555DC438" w14:textId="77777777" w:rsidR="00106428" w:rsidRPr="00106428" w:rsidRDefault="00106428" w:rsidP="00106428">
      <w:pPr>
        <w:spacing w:after="0" w:line="360" w:lineRule="auto"/>
        <w:ind w:firstLine="709"/>
        <w:jc w:val="both"/>
        <w:rPr>
          <w:rFonts w:ascii="Times New Roman" w:hAnsi="Times New Roman" w:cs="Times New Roman"/>
          <w:sz w:val="28"/>
        </w:rPr>
      </w:pPr>
      <w:r w:rsidRPr="00106428">
        <w:rPr>
          <w:rFonts w:ascii="Times New Roman" w:hAnsi="Times New Roman" w:cs="Times New Roman"/>
          <w:sz w:val="28"/>
        </w:rPr>
        <w:lastRenderedPageBreak/>
        <w:t>Функции НПФ выделенные Новиковым А.В. в своей диссертации: социальная, экономическая, инвестиционная, парораспределительная, аккумулирующая, преумножение, посредническая</w:t>
      </w:r>
      <w:r w:rsidRPr="00106428">
        <w:rPr>
          <w:rStyle w:val="a6"/>
          <w:rFonts w:ascii="Times New Roman" w:hAnsi="Times New Roman" w:cs="Times New Roman"/>
          <w:sz w:val="28"/>
        </w:rPr>
        <w:footnoteReference w:id="4"/>
      </w:r>
      <w:r w:rsidRPr="00106428">
        <w:rPr>
          <w:rFonts w:ascii="Times New Roman" w:hAnsi="Times New Roman" w:cs="Times New Roman"/>
          <w:sz w:val="28"/>
        </w:rPr>
        <w:t>.</w:t>
      </w:r>
    </w:p>
    <w:p w14:paraId="093D8B5D" w14:textId="77777777" w:rsidR="00106428" w:rsidRPr="00106428" w:rsidRDefault="00106428" w:rsidP="00106428">
      <w:pPr>
        <w:spacing w:after="0" w:line="360" w:lineRule="auto"/>
        <w:ind w:firstLine="709"/>
        <w:jc w:val="both"/>
        <w:rPr>
          <w:rFonts w:ascii="Times New Roman" w:hAnsi="Times New Roman" w:cs="Times New Roman"/>
          <w:sz w:val="28"/>
        </w:rPr>
      </w:pPr>
      <w:r w:rsidRPr="00106428">
        <w:rPr>
          <w:rFonts w:ascii="Times New Roman" w:hAnsi="Times New Roman" w:cs="Times New Roman"/>
          <w:sz w:val="28"/>
        </w:rPr>
        <w:t xml:space="preserve">По нашему мнению самой корректной является точка зрения Новикова А.В, так как в своем исследовании </w:t>
      </w:r>
      <w:proofErr w:type="spellStart"/>
      <w:r w:rsidRPr="00106428">
        <w:rPr>
          <w:rFonts w:ascii="Times New Roman" w:hAnsi="Times New Roman" w:cs="Times New Roman"/>
          <w:sz w:val="28"/>
        </w:rPr>
        <w:t>Хачумова</w:t>
      </w:r>
      <w:proofErr w:type="spellEnd"/>
      <w:r w:rsidRPr="00106428">
        <w:rPr>
          <w:rFonts w:ascii="Times New Roman" w:hAnsi="Times New Roman" w:cs="Times New Roman"/>
          <w:sz w:val="28"/>
        </w:rPr>
        <w:t xml:space="preserve"> не указывает в качестве функции НПФ посредническую. А функция конкуренции на рынке, по нашему мнению, не является основной. Кроме того, по нашему мнению важно отметить, что НПФ выполняют также воспитательную функцию. Так, ключевыми функциями НПФ, по нашему мнению являются, социальная, экономическая, сберегательная, инвестиционная, посредническая, аккумулирующая, воспитательная.</w:t>
      </w:r>
    </w:p>
    <w:p w14:paraId="19181B4C" w14:textId="77777777" w:rsidR="00106428" w:rsidRPr="00106428" w:rsidRDefault="00106428" w:rsidP="00106428">
      <w:pPr>
        <w:pStyle w:val="a5"/>
        <w:numPr>
          <w:ilvl w:val="0"/>
          <w:numId w:val="1"/>
        </w:numPr>
        <w:spacing w:line="360" w:lineRule="auto"/>
        <w:ind w:left="0" w:firstLine="709"/>
        <w:jc w:val="both"/>
        <w:rPr>
          <w:sz w:val="28"/>
        </w:rPr>
      </w:pPr>
      <w:r w:rsidRPr="00106428">
        <w:rPr>
          <w:sz w:val="28"/>
        </w:rPr>
        <w:t>Перед тем как перейти к анализу деятельности НПФ необходимо изучить современное состояние пенсионной системы, определить роль НПФ, а также изучить уровень конкуренции среди НПФ. Для того чтобы сделать выводы о состоянии рынка пенсионного страхования была проанализирована</w:t>
      </w:r>
      <w:r w:rsidRPr="00106428">
        <w:rPr>
          <w:color w:val="FF0000"/>
          <w:sz w:val="28"/>
        </w:rPr>
        <w:t xml:space="preserve"> </w:t>
      </w:r>
      <w:r w:rsidRPr="00106428">
        <w:rPr>
          <w:sz w:val="28"/>
        </w:rPr>
        <w:t xml:space="preserve">совместная работа Мищенко О.А. и </w:t>
      </w:r>
      <w:proofErr w:type="spellStart"/>
      <w:r w:rsidRPr="00106428">
        <w:rPr>
          <w:sz w:val="28"/>
        </w:rPr>
        <w:t>Леонидовой</w:t>
      </w:r>
      <w:proofErr w:type="spellEnd"/>
      <w:r w:rsidRPr="00106428">
        <w:rPr>
          <w:sz w:val="28"/>
        </w:rPr>
        <w:t xml:space="preserve"> Е.Г</w:t>
      </w:r>
      <w:r w:rsidRPr="00106428">
        <w:rPr>
          <w:rStyle w:val="a6"/>
          <w:sz w:val="28"/>
        </w:rPr>
        <w:footnoteReference w:id="5"/>
      </w:r>
      <w:r w:rsidRPr="00106428">
        <w:rPr>
          <w:sz w:val="28"/>
        </w:rPr>
        <w:t xml:space="preserve">, Гареева И.А. и </w:t>
      </w:r>
      <w:proofErr w:type="spellStart"/>
      <w:r w:rsidRPr="00106428">
        <w:rPr>
          <w:sz w:val="28"/>
        </w:rPr>
        <w:t>Малеванова</w:t>
      </w:r>
      <w:proofErr w:type="spellEnd"/>
      <w:r w:rsidRPr="00106428">
        <w:rPr>
          <w:sz w:val="28"/>
        </w:rPr>
        <w:t xml:space="preserve"> Ю.К</w:t>
      </w:r>
      <w:r w:rsidRPr="00106428">
        <w:rPr>
          <w:rStyle w:val="a6"/>
          <w:sz w:val="28"/>
        </w:rPr>
        <w:footnoteReference w:id="6"/>
      </w:r>
      <w:r w:rsidRPr="00106428">
        <w:rPr>
          <w:sz w:val="28"/>
        </w:rPr>
        <w:t xml:space="preserve">, </w:t>
      </w:r>
      <w:proofErr w:type="spellStart"/>
      <w:r w:rsidRPr="00106428">
        <w:rPr>
          <w:sz w:val="28"/>
        </w:rPr>
        <w:t>Мазаровой</w:t>
      </w:r>
      <w:proofErr w:type="spellEnd"/>
      <w:r w:rsidRPr="00106428">
        <w:rPr>
          <w:sz w:val="28"/>
        </w:rPr>
        <w:t xml:space="preserve"> Э.Д</w:t>
      </w:r>
      <w:r w:rsidRPr="00106428">
        <w:rPr>
          <w:rStyle w:val="a6"/>
          <w:sz w:val="28"/>
        </w:rPr>
        <w:footnoteReference w:id="7"/>
      </w:r>
      <w:r w:rsidRPr="00106428">
        <w:rPr>
          <w:sz w:val="28"/>
        </w:rPr>
        <w:t>.</w:t>
      </w:r>
    </w:p>
    <w:p w14:paraId="4CDBE20A" w14:textId="77777777" w:rsidR="00106428" w:rsidRPr="00106428" w:rsidRDefault="00106428" w:rsidP="00106428">
      <w:pPr>
        <w:spacing w:after="0" w:line="360" w:lineRule="auto"/>
        <w:ind w:firstLine="709"/>
        <w:jc w:val="both"/>
        <w:rPr>
          <w:rFonts w:ascii="Times New Roman" w:hAnsi="Times New Roman" w:cs="Times New Roman"/>
          <w:sz w:val="28"/>
        </w:rPr>
      </w:pPr>
      <w:r w:rsidRPr="00106428">
        <w:rPr>
          <w:rFonts w:ascii="Times New Roman" w:hAnsi="Times New Roman" w:cs="Times New Roman"/>
          <w:sz w:val="28"/>
        </w:rPr>
        <w:t xml:space="preserve">. В статье утверждается, что ПФР сегодня не в состоянии в полном объеме удовлетворить материальные потребности населения из-за ограниченности финансовых ресурсов. Роль НПФ заключается в </w:t>
      </w:r>
      <w:r w:rsidRPr="00106428">
        <w:rPr>
          <w:rFonts w:ascii="Times New Roman" w:hAnsi="Times New Roman" w:cs="Times New Roman"/>
          <w:sz w:val="28"/>
        </w:rPr>
        <w:lastRenderedPageBreak/>
        <w:t xml:space="preserve">удовлетворении этой потребности. Согласно мнению авторов фонды выполняют следующие задачи: </w:t>
      </w:r>
    </w:p>
    <w:p w14:paraId="2A7B72A6" w14:textId="77777777" w:rsidR="00106428" w:rsidRPr="00106428" w:rsidRDefault="00106428" w:rsidP="00106428">
      <w:pPr>
        <w:spacing w:line="360" w:lineRule="auto"/>
        <w:ind w:firstLine="709"/>
        <w:jc w:val="both"/>
        <w:rPr>
          <w:rFonts w:ascii="Times New Roman" w:hAnsi="Times New Roman" w:cs="Times New Roman"/>
          <w:sz w:val="28"/>
        </w:rPr>
      </w:pPr>
      <w:r w:rsidRPr="00106428">
        <w:rPr>
          <w:rFonts w:ascii="Times New Roman" w:hAnsi="Times New Roman" w:cs="Times New Roman"/>
          <w:sz w:val="28"/>
        </w:rPr>
        <w:t>- сбережение и накопление средств (по принципу банковского депозита)</w:t>
      </w:r>
    </w:p>
    <w:p w14:paraId="5CEA1C0D" w14:textId="77777777" w:rsidR="00106428" w:rsidRPr="00106428" w:rsidRDefault="00106428" w:rsidP="00106428">
      <w:pPr>
        <w:spacing w:after="0" w:line="360" w:lineRule="auto"/>
        <w:ind w:firstLine="709"/>
        <w:jc w:val="both"/>
        <w:rPr>
          <w:rFonts w:ascii="Times New Roman" w:hAnsi="Times New Roman" w:cs="Times New Roman"/>
          <w:sz w:val="28"/>
        </w:rPr>
      </w:pPr>
      <w:r w:rsidRPr="00106428">
        <w:rPr>
          <w:rFonts w:ascii="Times New Roman" w:hAnsi="Times New Roman" w:cs="Times New Roman"/>
          <w:sz w:val="28"/>
        </w:rPr>
        <w:t>- защита пенсии (по принципу страховой компании)</w:t>
      </w:r>
    </w:p>
    <w:p w14:paraId="1C42FF15" w14:textId="77777777" w:rsidR="00106428" w:rsidRPr="00106428" w:rsidRDefault="00106428" w:rsidP="00106428">
      <w:pPr>
        <w:spacing w:after="0" w:line="360" w:lineRule="auto"/>
        <w:ind w:firstLine="709"/>
        <w:jc w:val="both"/>
        <w:rPr>
          <w:rFonts w:ascii="Times New Roman" w:hAnsi="Times New Roman" w:cs="Times New Roman"/>
          <w:sz w:val="28"/>
        </w:rPr>
      </w:pPr>
      <w:r w:rsidRPr="00106428">
        <w:rPr>
          <w:rFonts w:ascii="Times New Roman" w:hAnsi="Times New Roman" w:cs="Times New Roman"/>
          <w:sz w:val="28"/>
        </w:rPr>
        <w:t xml:space="preserve">В работе авторы выделяют ряд преимуществ негосударственного пенсионного обеспечения перед государственным. Вот основные из них: </w:t>
      </w:r>
    </w:p>
    <w:p w14:paraId="514092BB" w14:textId="77777777" w:rsidR="00106428" w:rsidRPr="00106428" w:rsidRDefault="00106428" w:rsidP="00106428">
      <w:pPr>
        <w:pStyle w:val="a5"/>
        <w:numPr>
          <w:ilvl w:val="0"/>
          <w:numId w:val="2"/>
        </w:numPr>
        <w:spacing w:line="360" w:lineRule="auto"/>
        <w:ind w:left="0" w:firstLine="709"/>
        <w:jc w:val="both"/>
        <w:rPr>
          <w:sz w:val="28"/>
          <w:szCs w:val="28"/>
        </w:rPr>
      </w:pPr>
      <w:r w:rsidRPr="00106428">
        <w:rPr>
          <w:sz w:val="28"/>
          <w:szCs w:val="28"/>
        </w:rPr>
        <w:t>Удобный и гибкий способ накопления, так как вкладчик сам выбирает размер и периодичность взносов</w:t>
      </w:r>
    </w:p>
    <w:p w14:paraId="354A026D" w14:textId="77777777" w:rsidR="00106428" w:rsidRPr="00106428" w:rsidRDefault="00106428" w:rsidP="00106428">
      <w:pPr>
        <w:pStyle w:val="a5"/>
        <w:numPr>
          <w:ilvl w:val="0"/>
          <w:numId w:val="2"/>
        </w:numPr>
        <w:spacing w:line="360" w:lineRule="auto"/>
        <w:ind w:left="0" w:firstLine="709"/>
        <w:jc w:val="both"/>
        <w:rPr>
          <w:sz w:val="28"/>
          <w:szCs w:val="28"/>
        </w:rPr>
      </w:pPr>
      <w:r w:rsidRPr="00106428">
        <w:rPr>
          <w:sz w:val="28"/>
          <w:szCs w:val="28"/>
        </w:rPr>
        <w:t>Возможность корректировки инвестиционной программы, в зависимости от тенденций и изменений на финансовом рынке</w:t>
      </w:r>
    </w:p>
    <w:p w14:paraId="734BD80D" w14:textId="77777777" w:rsidR="00106428" w:rsidRPr="00106428" w:rsidRDefault="00106428" w:rsidP="00106428">
      <w:pPr>
        <w:pStyle w:val="a5"/>
        <w:numPr>
          <w:ilvl w:val="0"/>
          <w:numId w:val="2"/>
        </w:numPr>
        <w:spacing w:line="360" w:lineRule="auto"/>
        <w:ind w:left="0" w:firstLine="709"/>
        <w:jc w:val="both"/>
        <w:rPr>
          <w:sz w:val="28"/>
          <w:szCs w:val="28"/>
        </w:rPr>
      </w:pPr>
      <w:r w:rsidRPr="00106428">
        <w:rPr>
          <w:sz w:val="28"/>
          <w:szCs w:val="28"/>
        </w:rPr>
        <w:t>Накопления инвестируются фондом, по итогам инвестирования на счет начисляется доход</w:t>
      </w:r>
    </w:p>
    <w:p w14:paraId="3FAC5D5D" w14:textId="77777777" w:rsidR="00106428" w:rsidRPr="00106428" w:rsidRDefault="00106428" w:rsidP="00106428">
      <w:pPr>
        <w:pStyle w:val="a5"/>
        <w:numPr>
          <w:ilvl w:val="0"/>
          <w:numId w:val="2"/>
        </w:numPr>
        <w:spacing w:line="360" w:lineRule="auto"/>
        <w:ind w:left="0" w:firstLine="709"/>
        <w:jc w:val="both"/>
        <w:rPr>
          <w:sz w:val="28"/>
        </w:rPr>
      </w:pPr>
      <w:r w:rsidRPr="00106428">
        <w:rPr>
          <w:sz w:val="28"/>
        </w:rPr>
        <w:t>Возможность повысить эффективность вложений с помощью социального налогового вычета (13% от уплаченных взносов, но не более 120 000 рублей в год)</w:t>
      </w:r>
    </w:p>
    <w:p w14:paraId="52868F54" w14:textId="77777777" w:rsidR="00106428" w:rsidRPr="00106428" w:rsidRDefault="00106428" w:rsidP="00106428">
      <w:pPr>
        <w:pStyle w:val="a5"/>
        <w:numPr>
          <w:ilvl w:val="0"/>
          <w:numId w:val="2"/>
        </w:numPr>
        <w:spacing w:line="360" w:lineRule="auto"/>
        <w:ind w:left="0" w:firstLine="709"/>
        <w:jc w:val="both"/>
        <w:rPr>
          <w:sz w:val="28"/>
        </w:rPr>
      </w:pPr>
      <w:r w:rsidRPr="00106428">
        <w:rPr>
          <w:sz w:val="28"/>
        </w:rPr>
        <w:t>Возможность получения увеличенной первой выплаты (до 40% от суммы накоплений)</w:t>
      </w:r>
    </w:p>
    <w:p w14:paraId="0F355B7E" w14:textId="77777777" w:rsidR="00106428" w:rsidRPr="00106428" w:rsidRDefault="00106428" w:rsidP="00106428">
      <w:pPr>
        <w:pStyle w:val="a5"/>
        <w:numPr>
          <w:ilvl w:val="0"/>
          <w:numId w:val="2"/>
        </w:numPr>
        <w:spacing w:line="360" w:lineRule="auto"/>
        <w:ind w:left="0" w:firstLine="709"/>
        <w:jc w:val="both"/>
        <w:rPr>
          <w:sz w:val="28"/>
        </w:rPr>
      </w:pPr>
      <w:r w:rsidRPr="00106428">
        <w:rPr>
          <w:sz w:val="28"/>
        </w:rPr>
        <w:t>Возможность передачи пенсионных накоплений по наследству</w:t>
      </w:r>
    </w:p>
    <w:p w14:paraId="0D039950" w14:textId="77777777" w:rsidR="00106428" w:rsidRPr="00106428" w:rsidRDefault="00106428" w:rsidP="00106428">
      <w:pPr>
        <w:spacing w:after="0" w:line="360" w:lineRule="auto"/>
        <w:ind w:firstLine="709"/>
        <w:jc w:val="both"/>
        <w:rPr>
          <w:rFonts w:ascii="Times New Roman" w:hAnsi="Times New Roman" w:cs="Times New Roman"/>
          <w:sz w:val="28"/>
        </w:rPr>
      </w:pPr>
      <w:r w:rsidRPr="00106428">
        <w:rPr>
          <w:rFonts w:ascii="Times New Roman" w:hAnsi="Times New Roman" w:cs="Times New Roman"/>
          <w:sz w:val="28"/>
        </w:rPr>
        <w:t xml:space="preserve">Улучшить представление о системе пенсионного страхования в России поможет работа </w:t>
      </w:r>
      <w:proofErr w:type="spellStart"/>
      <w:r w:rsidRPr="00106428">
        <w:rPr>
          <w:rFonts w:ascii="Times New Roman" w:hAnsi="Times New Roman" w:cs="Times New Roman"/>
          <w:sz w:val="28"/>
        </w:rPr>
        <w:t>Фатхисламовой</w:t>
      </w:r>
      <w:proofErr w:type="spellEnd"/>
      <w:r w:rsidRPr="00106428">
        <w:rPr>
          <w:rFonts w:ascii="Times New Roman" w:hAnsi="Times New Roman" w:cs="Times New Roman"/>
          <w:sz w:val="28"/>
        </w:rPr>
        <w:t xml:space="preserve"> Г.Ф. В своей научной статье делает акцент, что в системе обязательного пенсионного страхования существует два института страховщиков: Пенсионный Фонд России и НПФ. У застрахованного лица есть права выбора между ними. Автор обращает внимание на то, что НПФ сегодня являются крупнейшими страховщиками в системе ОПС, обладая более 50% всех средств пенсионных накоплений. </w:t>
      </w:r>
    </w:p>
    <w:p w14:paraId="5E1D4FCD" w14:textId="77777777" w:rsidR="00106428" w:rsidRPr="00106428" w:rsidRDefault="00106428" w:rsidP="00106428">
      <w:pPr>
        <w:spacing w:after="0" w:line="360" w:lineRule="auto"/>
        <w:ind w:firstLine="709"/>
        <w:jc w:val="both"/>
        <w:rPr>
          <w:rFonts w:ascii="Times New Roman" w:hAnsi="Times New Roman" w:cs="Times New Roman"/>
          <w:sz w:val="28"/>
        </w:rPr>
      </w:pPr>
      <w:proofErr w:type="spellStart"/>
      <w:r w:rsidRPr="00106428">
        <w:rPr>
          <w:rFonts w:ascii="Times New Roman" w:hAnsi="Times New Roman" w:cs="Times New Roman"/>
          <w:sz w:val="28"/>
        </w:rPr>
        <w:t>Фатхисламова</w:t>
      </w:r>
      <w:proofErr w:type="spellEnd"/>
      <w:r w:rsidRPr="00106428">
        <w:rPr>
          <w:rFonts w:ascii="Times New Roman" w:hAnsi="Times New Roman" w:cs="Times New Roman"/>
          <w:sz w:val="28"/>
        </w:rPr>
        <w:t xml:space="preserve"> Г.Ф. обращает внимание на их роль важного участника финансового рынка. Так, средства НПФ обеспечили приток средств на государственный сегмент рынка ценных бумаг в сумме 587 </w:t>
      </w:r>
      <w:proofErr w:type="spellStart"/>
      <w:r w:rsidRPr="00106428">
        <w:rPr>
          <w:rFonts w:ascii="Times New Roman" w:hAnsi="Times New Roman" w:cs="Times New Roman"/>
          <w:sz w:val="28"/>
        </w:rPr>
        <w:t>млрд.рублей</w:t>
      </w:r>
      <w:proofErr w:type="spellEnd"/>
      <w:r w:rsidRPr="00106428">
        <w:rPr>
          <w:rFonts w:ascii="Times New Roman" w:hAnsi="Times New Roman" w:cs="Times New Roman"/>
          <w:sz w:val="28"/>
        </w:rPr>
        <w:t xml:space="preserve">, что эквивалентно 0,6% ВВП, на корпоративный сектор 1,6 </w:t>
      </w:r>
      <w:proofErr w:type="spellStart"/>
      <w:r w:rsidRPr="00106428">
        <w:rPr>
          <w:rFonts w:ascii="Times New Roman" w:hAnsi="Times New Roman" w:cs="Times New Roman"/>
          <w:sz w:val="28"/>
        </w:rPr>
        <w:t>трлн.рублей</w:t>
      </w:r>
      <w:proofErr w:type="spellEnd"/>
      <w:r w:rsidRPr="00106428">
        <w:rPr>
          <w:rFonts w:ascii="Times New Roman" w:hAnsi="Times New Roman" w:cs="Times New Roman"/>
          <w:sz w:val="28"/>
        </w:rPr>
        <w:t xml:space="preserve">, что </w:t>
      </w:r>
      <w:r w:rsidRPr="00106428">
        <w:rPr>
          <w:rFonts w:ascii="Times New Roman" w:hAnsi="Times New Roman" w:cs="Times New Roman"/>
          <w:sz w:val="28"/>
        </w:rPr>
        <w:lastRenderedPageBreak/>
        <w:t xml:space="preserve">эквивалентно 1,7% ВВП, в банковский сектор – 274 </w:t>
      </w:r>
      <w:proofErr w:type="spellStart"/>
      <w:r w:rsidRPr="00106428">
        <w:rPr>
          <w:rFonts w:ascii="Times New Roman" w:hAnsi="Times New Roman" w:cs="Times New Roman"/>
          <w:sz w:val="28"/>
        </w:rPr>
        <w:t>млрд.рублей</w:t>
      </w:r>
      <w:proofErr w:type="spellEnd"/>
      <w:r w:rsidRPr="00106428">
        <w:rPr>
          <w:rFonts w:ascii="Times New Roman" w:hAnsi="Times New Roman" w:cs="Times New Roman"/>
          <w:sz w:val="28"/>
        </w:rPr>
        <w:t xml:space="preserve"> или 0,3% ВВП.</w:t>
      </w:r>
    </w:p>
    <w:p w14:paraId="258B5F17" w14:textId="77777777" w:rsidR="00106428" w:rsidRPr="00106428" w:rsidRDefault="00106428" w:rsidP="00106428">
      <w:pPr>
        <w:spacing w:after="0" w:line="360" w:lineRule="auto"/>
        <w:ind w:firstLine="709"/>
        <w:jc w:val="both"/>
        <w:rPr>
          <w:rFonts w:ascii="Times New Roman" w:hAnsi="Times New Roman" w:cs="Times New Roman"/>
          <w:sz w:val="28"/>
        </w:rPr>
      </w:pPr>
      <w:r w:rsidRPr="00106428">
        <w:rPr>
          <w:rFonts w:ascii="Times New Roman" w:hAnsi="Times New Roman" w:cs="Times New Roman"/>
          <w:sz w:val="28"/>
        </w:rPr>
        <w:t xml:space="preserve">Работа автора также помогает получить представление о конкуренции среди НПФ. В исследовании осуществляется анализ конкуренции между этими организациями, по результатам которого делается умозаключение, что в России для рынка НПФ характерна олигополия. Более половины всех пенсионных накоплений приходится на 3 крупнейших НПФ. </w:t>
      </w:r>
    </w:p>
    <w:p w14:paraId="6ECBB33E" w14:textId="77777777" w:rsidR="00106428" w:rsidRPr="00106428" w:rsidRDefault="00106428" w:rsidP="00106428">
      <w:pPr>
        <w:spacing w:after="0" w:line="360" w:lineRule="auto"/>
        <w:ind w:firstLine="709"/>
        <w:jc w:val="both"/>
        <w:rPr>
          <w:rFonts w:ascii="Times New Roman" w:hAnsi="Times New Roman" w:cs="Times New Roman"/>
          <w:sz w:val="28"/>
        </w:rPr>
      </w:pPr>
      <w:r w:rsidRPr="00106428">
        <w:rPr>
          <w:rFonts w:ascii="Times New Roman" w:hAnsi="Times New Roman" w:cs="Times New Roman"/>
          <w:sz w:val="28"/>
        </w:rPr>
        <w:t>Отдельное внимание автор уделяет изменениям в законодательном портфельном ограничении, в результате которого происходит прирост вложений в государственные ценные бумаги и происходит сокращение вложений в банковские пассивы со стороны НПФ.</w:t>
      </w:r>
    </w:p>
    <w:p w14:paraId="17A85314" w14:textId="77777777" w:rsidR="00106428" w:rsidRPr="00106428" w:rsidRDefault="00106428" w:rsidP="00106428">
      <w:pPr>
        <w:spacing w:after="0" w:line="360" w:lineRule="auto"/>
        <w:ind w:firstLine="709"/>
        <w:jc w:val="both"/>
        <w:rPr>
          <w:rFonts w:ascii="Times New Roman" w:hAnsi="Times New Roman" w:cs="Times New Roman"/>
          <w:sz w:val="28"/>
          <w:szCs w:val="28"/>
        </w:rPr>
      </w:pPr>
      <w:r w:rsidRPr="00106428">
        <w:rPr>
          <w:rFonts w:ascii="Times New Roman" w:hAnsi="Times New Roman" w:cs="Times New Roman"/>
          <w:sz w:val="28"/>
        </w:rPr>
        <w:t xml:space="preserve">Следующий этап работы стоит начать с определения роли инвестиционной стратегии в успешной деятельности НПФ. Ее роль не вызывает дискуссий среди ученых. Авторы сходятся во мнении, что, </w:t>
      </w:r>
      <w:r w:rsidRPr="00106428">
        <w:rPr>
          <w:rFonts w:ascii="Times New Roman" w:hAnsi="Times New Roman" w:cs="Times New Roman"/>
          <w:sz w:val="28"/>
          <w:szCs w:val="28"/>
        </w:rPr>
        <w:t>учитывая долгосрочный характер инвестиционной деятельности НПФ, важную роль в управлении фондом играет инвестиционная стратегия. Однако среди них есть разногласия по поводу того, на чем она основывается. Так, в совместной монографии Юрьева И.А, Масюк Н.Н</w:t>
      </w:r>
      <w:r w:rsidRPr="00106428">
        <w:rPr>
          <w:rStyle w:val="a6"/>
          <w:rFonts w:ascii="Times New Roman" w:hAnsi="Times New Roman" w:cs="Times New Roman"/>
          <w:sz w:val="28"/>
          <w:szCs w:val="28"/>
        </w:rPr>
        <w:footnoteReference w:id="8"/>
      </w:r>
      <w:r w:rsidRPr="00106428">
        <w:rPr>
          <w:rFonts w:ascii="Times New Roman" w:hAnsi="Times New Roman" w:cs="Times New Roman"/>
          <w:sz w:val="28"/>
          <w:szCs w:val="28"/>
        </w:rPr>
        <w:t>. определяют, что инвестиционная стратегия НПФ в целях сохранения и приумножения средств пенсионных резервов, сохранения и увеличения капитала, строится на использовании системы контроля рисков для получения среднего стабильного дохода при минимальном уровне риска, и основывается на объективных критериях, поддающихся количественной оценке (выбор субъектов и объектов инвестирования, размер накопленных ресурсов, сроков пенсионных выплат, ситуация на рынке ценных бумаг и др.).</w:t>
      </w:r>
    </w:p>
    <w:p w14:paraId="2F87DBFE" w14:textId="77777777" w:rsidR="00106428" w:rsidRPr="00106428" w:rsidRDefault="00106428" w:rsidP="00106428">
      <w:pPr>
        <w:spacing w:after="0" w:line="360" w:lineRule="auto"/>
        <w:ind w:firstLine="709"/>
        <w:jc w:val="both"/>
        <w:rPr>
          <w:rFonts w:ascii="Times New Roman" w:hAnsi="Times New Roman" w:cs="Times New Roman"/>
        </w:rPr>
      </w:pPr>
      <w:r w:rsidRPr="00106428">
        <w:rPr>
          <w:rFonts w:ascii="Times New Roman" w:hAnsi="Times New Roman" w:cs="Times New Roman"/>
          <w:sz w:val="28"/>
          <w:szCs w:val="28"/>
        </w:rPr>
        <w:t xml:space="preserve">В своей монографии Новиков А.В. под инвестиционной стратегией НПФ понимает систему долгосрочных взаимосвязанных целевых ориентиров </w:t>
      </w:r>
      <w:r w:rsidRPr="00106428">
        <w:rPr>
          <w:rFonts w:ascii="Times New Roman" w:hAnsi="Times New Roman" w:cs="Times New Roman"/>
          <w:sz w:val="28"/>
          <w:szCs w:val="28"/>
        </w:rPr>
        <w:lastRenderedPageBreak/>
        <w:t>развития фонда по основным аспектам его деятельности, направленных на инвестирование и преумножение аккумулируемого капитала в целях реализации социальной функции НПФ – повышение благосостояния пенсионеров посредством обеспечение сохранности и наращения пенсионного капитала. Инвестиционная стратегия по его мнению основывается на: прогнозировании конъюнктуры финансового рынка, учете особенностей законодательства, регулирующего пенсионную систему, корректировке работы на основе среднесрочных и долгосрочных прогнозов показателей текущей деятельности</w:t>
      </w:r>
      <w:r w:rsidRPr="00106428">
        <w:rPr>
          <w:rFonts w:ascii="Times New Roman" w:hAnsi="Times New Roman" w:cs="Times New Roman"/>
        </w:rPr>
        <w:t>.</w:t>
      </w:r>
    </w:p>
    <w:p w14:paraId="0A0F5BD2" w14:textId="77777777" w:rsidR="00106428" w:rsidRPr="00106428" w:rsidRDefault="00106428" w:rsidP="00106428">
      <w:pPr>
        <w:spacing w:after="0" w:line="360" w:lineRule="auto"/>
        <w:ind w:firstLine="709"/>
        <w:jc w:val="both"/>
        <w:rPr>
          <w:rFonts w:ascii="Times New Roman" w:hAnsi="Times New Roman" w:cs="Times New Roman"/>
          <w:sz w:val="28"/>
          <w:szCs w:val="28"/>
        </w:rPr>
      </w:pPr>
      <w:r w:rsidRPr="00106428">
        <w:rPr>
          <w:rFonts w:ascii="Times New Roman" w:hAnsi="Times New Roman" w:cs="Times New Roman"/>
          <w:sz w:val="28"/>
        </w:rPr>
        <w:t xml:space="preserve">По нашему мнению Новиков А.В. формулирует более корректную основу инвестиционной стратегии, так как в работе </w:t>
      </w:r>
      <w:r w:rsidRPr="00106428">
        <w:rPr>
          <w:rFonts w:ascii="Times New Roman" w:hAnsi="Times New Roman" w:cs="Times New Roman"/>
          <w:sz w:val="28"/>
          <w:szCs w:val="28"/>
        </w:rPr>
        <w:t xml:space="preserve">Юрьевой И.А, и Масюк Н.Н не сказано, что инвестиционная стратегия основывается на прогнозировании конъюнктуры финансового рынка. Однако ни в одной из этих работ не сказано, что инвестиционная стратегия основывается на выборе компетентной УК. </w:t>
      </w:r>
    </w:p>
    <w:p w14:paraId="0A4231C7" w14:textId="77777777" w:rsidR="00106428" w:rsidRPr="00106428" w:rsidRDefault="00106428" w:rsidP="00106428">
      <w:pPr>
        <w:spacing w:after="0" w:line="360" w:lineRule="auto"/>
        <w:ind w:firstLine="709"/>
        <w:jc w:val="both"/>
        <w:rPr>
          <w:rFonts w:ascii="Times New Roman" w:hAnsi="Times New Roman" w:cs="Times New Roman"/>
          <w:color w:val="FF0000"/>
          <w:sz w:val="28"/>
        </w:rPr>
      </w:pPr>
      <w:r w:rsidRPr="00106428">
        <w:rPr>
          <w:rFonts w:ascii="Times New Roman" w:hAnsi="Times New Roman" w:cs="Times New Roman"/>
          <w:sz w:val="28"/>
          <w:szCs w:val="28"/>
        </w:rPr>
        <w:t xml:space="preserve">Следующим важными аспектами работы, которые нужно изучить, являются показатели, по которым можно оценить деятельность НПФ. Этот вопрос является предметом дискуссии среди исследователей. </w:t>
      </w:r>
    </w:p>
    <w:p w14:paraId="287C5265" w14:textId="77777777" w:rsidR="00106428" w:rsidRPr="00106428" w:rsidRDefault="00106428" w:rsidP="00106428">
      <w:pPr>
        <w:spacing w:after="0" w:line="360" w:lineRule="auto"/>
        <w:ind w:firstLine="709"/>
        <w:jc w:val="both"/>
        <w:rPr>
          <w:rFonts w:ascii="Times New Roman" w:hAnsi="Times New Roman" w:cs="Times New Roman"/>
          <w:sz w:val="28"/>
        </w:rPr>
      </w:pPr>
      <w:r w:rsidRPr="00106428">
        <w:rPr>
          <w:rFonts w:ascii="Times New Roman" w:hAnsi="Times New Roman" w:cs="Times New Roman"/>
          <w:sz w:val="28"/>
        </w:rPr>
        <w:t>В своей статье Мищенко О.А. и Леонидова Е.Г проводят анализ деятельности нескольких НПФ по самым важным показателям. Ключевым показателем является накопленная доходность за несколько лет, которая должна быть выше накопленной инфляции за этот же период. Сравнив накопленную доходность 16 НПФ, авторы отмечают, что организации показали эффективность пенсионных накоплений и накопительной пенсионной системы в целом. Однако отмечают, что отдельные фонды не смогли сберечь накопления от инфляции.</w:t>
      </w:r>
    </w:p>
    <w:p w14:paraId="4471C1E3" w14:textId="77777777" w:rsidR="00106428" w:rsidRPr="00106428" w:rsidRDefault="00106428" w:rsidP="00106428">
      <w:pPr>
        <w:spacing w:line="360" w:lineRule="auto"/>
        <w:ind w:firstLine="709"/>
        <w:jc w:val="both"/>
        <w:rPr>
          <w:rFonts w:ascii="Times New Roman" w:hAnsi="Times New Roman" w:cs="Times New Roman"/>
          <w:sz w:val="28"/>
        </w:rPr>
      </w:pPr>
      <w:r w:rsidRPr="00106428">
        <w:rPr>
          <w:rFonts w:ascii="Times New Roman" w:hAnsi="Times New Roman" w:cs="Times New Roman"/>
          <w:sz w:val="28"/>
        </w:rPr>
        <w:t xml:space="preserve">Вторым важным показателем авторы называют собственной имущество НПФ. В статье сравниваются размер собственного имущества 11 НПФ. </w:t>
      </w:r>
    </w:p>
    <w:p w14:paraId="5B27E918" w14:textId="77777777" w:rsidR="00106428" w:rsidRPr="00106428" w:rsidRDefault="00106428" w:rsidP="00106428">
      <w:pPr>
        <w:spacing w:after="0" w:line="360" w:lineRule="auto"/>
        <w:ind w:firstLine="709"/>
        <w:jc w:val="both"/>
        <w:rPr>
          <w:rFonts w:ascii="Times New Roman" w:hAnsi="Times New Roman" w:cs="Times New Roman"/>
          <w:sz w:val="28"/>
        </w:rPr>
      </w:pPr>
      <w:r w:rsidRPr="00106428">
        <w:rPr>
          <w:rFonts w:ascii="Times New Roman" w:hAnsi="Times New Roman" w:cs="Times New Roman"/>
          <w:sz w:val="28"/>
        </w:rPr>
        <w:lastRenderedPageBreak/>
        <w:t xml:space="preserve">Третий важный показатель – количество застрахованных лиц. По этому показателю также лидируют АО «НПФ Сбербанка» и АО «НПФ ЛУКОЙЛ-ГАРАНТ». </w:t>
      </w:r>
    </w:p>
    <w:p w14:paraId="25263070" w14:textId="77777777" w:rsidR="00106428" w:rsidRPr="00106428" w:rsidRDefault="00106428" w:rsidP="00106428">
      <w:pPr>
        <w:spacing w:after="0" w:line="360" w:lineRule="auto"/>
        <w:ind w:firstLine="709"/>
        <w:jc w:val="both"/>
        <w:rPr>
          <w:rFonts w:ascii="Times New Roman" w:hAnsi="Times New Roman" w:cs="Times New Roman"/>
          <w:sz w:val="28"/>
        </w:rPr>
      </w:pPr>
      <w:r w:rsidRPr="00106428">
        <w:rPr>
          <w:rFonts w:ascii="Times New Roman" w:hAnsi="Times New Roman" w:cs="Times New Roman"/>
          <w:sz w:val="28"/>
        </w:rPr>
        <w:t xml:space="preserve">Четвертый важный показатель – объем пенсионных накоплений. </w:t>
      </w:r>
    </w:p>
    <w:p w14:paraId="451CEFAF" w14:textId="77777777" w:rsidR="00106428" w:rsidRPr="00106428" w:rsidRDefault="00106428" w:rsidP="00106428">
      <w:pPr>
        <w:spacing w:line="360" w:lineRule="auto"/>
        <w:ind w:firstLine="709"/>
        <w:jc w:val="both"/>
        <w:rPr>
          <w:rFonts w:ascii="Times New Roman" w:hAnsi="Times New Roman" w:cs="Times New Roman"/>
          <w:sz w:val="28"/>
        </w:rPr>
      </w:pPr>
      <w:r w:rsidRPr="00106428">
        <w:rPr>
          <w:rFonts w:ascii="Times New Roman" w:hAnsi="Times New Roman" w:cs="Times New Roman"/>
          <w:sz w:val="28"/>
        </w:rPr>
        <w:t>Оценку деятельности НПФ согласно модели Мищенко О.А. и Леонидова Е.Г можно представить на рисунке 1.</w:t>
      </w:r>
    </w:p>
    <w:p w14:paraId="0223F2DB" w14:textId="039E0A6B" w:rsidR="00106428" w:rsidRPr="00106428" w:rsidRDefault="00106428" w:rsidP="00106428">
      <w:pPr>
        <w:spacing w:line="360" w:lineRule="auto"/>
        <w:ind w:firstLine="709"/>
        <w:jc w:val="both"/>
        <w:rPr>
          <w:rFonts w:ascii="Times New Roman" w:hAnsi="Times New Roman" w:cs="Times New Roman"/>
          <w:sz w:val="28"/>
        </w:rPr>
      </w:pPr>
      <w:r w:rsidRPr="00106428">
        <w:rPr>
          <w:rFonts w:ascii="Times New Roman" w:hAnsi="Times New Roman" w:cs="Times New Roman"/>
          <w:noProof/>
        </w:rPr>
        <mc:AlternateContent>
          <mc:Choice Requires="wps">
            <w:drawing>
              <wp:anchor distT="45720" distB="45720" distL="114300" distR="114300" simplePos="0" relativeHeight="251665408" behindDoc="0" locked="0" layoutInCell="1" allowOverlap="1" wp14:anchorId="3CCF98AE" wp14:editId="2686274A">
                <wp:simplePos x="0" y="0"/>
                <wp:positionH relativeFrom="column">
                  <wp:posOffset>497205</wp:posOffset>
                </wp:positionH>
                <wp:positionV relativeFrom="paragraph">
                  <wp:posOffset>46355</wp:posOffset>
                </wp:positionV>
                <wp:extent cx="4107180" cy="518160"/>
                <wp:effectExtent l="0" t="0" r="26670" b="15240"/>
                <wp:wrapSquare wrapText="bothSides"/>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180" cy="518160"/>
                        </a:xfrm>
                        <a:prstGeom prst="rect">
                          <a:avLst/>
                        </a:prstGeom>
                        <a:solidFill>
                          <a:srgbClr val="FFFFFF"/>
                        </a:solidFill>
                        <a:ln w="9525">
                          <a:solidFill>
                            <a:srgbClr val="000000"/>
                          </a:solidFill>
                          <a:miter lim="800000"/>
                          <a:headEnd/>
                          <a:tailEnd/>
                        </a:ln>
                      </wps:spPr>
                      <wps:txbx>
                        <w:txbxContent>
                          <w:p w14:paraId="700548A5" w14:textId="77777777" w:rsidR="00106428" w:rsidRDefault="00106428" w:rsidP="00106428">
                            <w:pPr>
                              <w:pStyle w:val="a5"/>
                              <w:numPr>
                                <w:ilvl w:val="0"/>
                                <w:numId w:val="3"/>
                              </w:numPr>
                              <w:rPr>
                                <w:sz w:val="28"/>
                              </w:rPr>
                            </w:pPr>
                            <w:r>
                              <w:rPr>
                                <w:sz w:val="28"/>
                              </w:rPr>
                              <w:t>Сравнение накопленной доходности за несколько лет с накопленной инфляцией</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CF98AE" id="_x0000_t202" coordsize="21600,21600" o:spt="202" path="m,l,21600r21600,l21600,xe">
                <v:stroke joinstyle="miter"/>
                <v:path gradientshapeok="t" o:connecttype="rect"/>
              </v:shapetype>
              <v:shape id="Надпись 217" o:spid="_x0000_s1026" type="#_x0000_t202" style="position:absolute;left:0;text-align:left;margin-left:39.15pt;margin-top:3.65pt;width:323.4pt;height:40.8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">
                <v:textbox>
                  <w:txbxContent>
                    <w:p w14:paraId="700548A5" w14:textId="77777777" w:rsidR="00106428" w:rsidRDefault="00106428" w:rsidP="00106428">
                      <w:pPr>
                        <w:pStyle w:val="a5"/>
                        <w:numPr>
                          <w:ilvl w:val="0"/>
                          <w:numId w:val="3"/>
                        </w:numPr>
                        <w:rPr>
                          <w:sz w:val="28"/>
                        </w:rPr>
                      </w:pPr>
                      <w:r>
                        <w:rPr>
                          <w:sz w:val="28"/>
                        </w:rPr>
                        <w:t>Сравнение накопленной доходности за несколько лет с накопленной инфляцией</w:t>
                      </w:r>
                    </w:p>
                  </w:txbxContent>
                </v:textbox>
                <w10:wrap type="square"/>
              </v:shape>
            </w:pict>
          </mc:Fallback>
        </mc:AlternateContent>
      </w:r>
    </w:p>
    <w:p w14:paraId="38286CB6" w14:textId="7395FEAC" w:rsidR="00106428" w:rsidRPr="00106428" w:rsidRDefault="00106428" w:rsidP="00106428">
      <w:pPr>
        <w:spacing w:line="360" w:lineRule="auto"/>
        <w:ind w:firstLine="709"/>
        <w:jc w:val="both"/>
        <w:rPr>
          <w:rFonts w:ascii="Times New Roman" w:hAnsi="Times New Roman" w:cs="Times New Roman"/>
          <w:color w:val="FF0000"/>
          <w:sz w:val="28"/>
        </w:rPr>
      </w:pPr>
      <w:r w:rsidRPr="00106428">
        <w:rPr>
          <w:rFonts w:ascii="Times New Roman" w:hAnsi="Times New Roman" w:cs="Times New Roman"/>
          <w:noProof/>
        </w:rPr>
        <mc:AlternateContent>
          <mc:Choice Requires="wps">
            <w:drawing>
              <wp:anchor distT="0" distB="0" distL="114300" distR="114300" simplePos="0" relativeHeight="251650048" behindDoc="0" locked="0" layoutInCell="1" allowOverlap="1" wp14:anchorId="03211C4A" wp14:editId="193078C6">
                <wp:simplePos x="0" y="0"/>
                <wp:positionH relativeFrom="column">
                  <wp:posOffset>2409825</wp:posOffset>
                </wp:positionH>
                <wp:positionV relativeFrom="paragraph">
                  <wp:posOffset>219710</wp:posOffset>
                </wp:positionV>
                <wp:extent cx="0" cy="182880"/>
                <wp:effectExtent l="76200" t="0" r="57150" b="64770"/>
                <wp:wrapNone/>
                <wp:docPr id="7" name="Прямая со стрелкой 7"/>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F83DA6D" id="_x0000_t32" coordsize="21600,21600" o:spt="32" o:oned="t" path="m,l21600,21600e" filled="f">
                <v:path arrowok="t" fillok="f" o:connecttype="none"/>
                <o:lock v:ext="edit" shapetype="t"/>
              </v:shapetype>
              <v:shape id="Прямая со стрелкой 7" o:spid="_x0000_s1026" type="#_x0000_t32" style="position:absolute;margin-left:189.75pt;margin-top:17.3pt;width:0;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" strokecolor="black [3200]" strokeweight=".5pt">
                <v:stroke endarrow="block" joinstyle="miter"/>
              </v:shape>
            </w:pict>
          </mc:Fallback>
        </mc:AlternateContent>
      </w:r>
    </w:p>
    <w:p w14:paraId="01DF61F5" w14:textId="61389329" w:rsidR="00106428" w:rsidRPr="00106428" w:rsidRDefault="00106428" w:rsidP="00106428">
      <w:pPr>
        <w:spacing w:line="360" w:lineRule="auto"/>
        <w:ind w:firstLine="709"/>
        <w:jc w:val="both"/>
        <w:rPr>
          <w:rFonts w:ascii="Times New Roman" w:hAnsi="Times New Roman" w:cs="Times New Roman"/>
          <w:color w:val="FF0000"/>
          <w:sz w:val="28"/>
        </w:rPr>
      </w:pPr>
      <w:r w:rsidRPr="00106428">
        <w:rPr>
          <w:rFonts w:ascii="Times New Roman" w:hAnsi="Times New Roman" w:cs="Times New Roman"/>
          <w:noProof/>
        </w:rPr>
        <mc:AlternateContent>
          <mc:Choice Requires="wps">
            <w:drawing>
              <wp:anchor distT="45720" distB="45720" distL="114300" distR="114300" simplePos="0" relativeHeight="251651072" behindDoc="0" locked="0" layoutInCell="1" allowOverlap="1" wp14:anchorId="2846E487" wp14:editId="5ECC5DD5">
                <wp:simplePos x="0" y="0"/>
                <wp:positionH relativeFrom="column">
                  <wp:posOffset>512445</wp:posOffset>
                </wp:positionH>
                <wp:positionV relativeFrom="paragraph">
                  <wp:posOffset>57785</wp:posOffset>
                </wp:positionV>
                <wp:extent cx="4099560" cy="388620"/>
                <wp:effectExtent l="0" t="0" r="15240" b="11430"/>
                <wp:wrapSquare wrapText="bothSides"/>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388620"/>
                        </a:xfrm>
                        <a:prstGeom prst="rect">
                          <a:avLst/>
                        </a:prstGeom>
                        <a:solidFill>
                          <a:srgbClr val="FFFFFF"/>
                        </a:solidFill>
                        <a:ln w="9525">
                          <a:solidFill>
                            <a:srgbClr val="000000"/>
                          </a:solidFill>
                          <a:miter lim="800000"/>
                          <a:headEnd/>
                          <a:tailEnd/>
                        </a:ln>
                      </wps:spPr>
                      <wps:txbx>
                        <w:txbxContent>
                          <w:p w14:paraId="2282A4D8" w14:textId="77777777" w:rsidR="00106428" w:rsidRDefault="00106428" w:rsidP="00106428">
                            <w:pPr>
                              <w:pStyle w:val="a5"/>
                              <w:numPr>
                                <w:ilvl w:val="0"/>
                                <w:numId w:val="3"/>
                              </w:numPr>
                              <w:rPr>
                                <w:sz w:val="28"/>
                              </w:rPr>
                            </w:pPr>
                            <w:r>
                              <w:rPr>
                                <w:sz w:val="28"/>
                              </w:rPr>
                              <w:t>Собственное имущество</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6E487" id="Надпись 3" o:spid="_x0000_s1027" type="#_x0000_t202" style="position:absolute;left:0;text-align:left;margin-left:40.35pt;margin-top:4.55pt;width:322.8pt;height:30.6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">
                <v:textbox>
                  <w:txbxContent>
                    <w:p w14:paraId="2282A4D8" w14:textId="77777777" w:rsidR="00106428" w:rsidRDefault="00106428" w:rsidP="00106428">
                      <w:pPr>
                        <w:pStyle w:val="a5"/>
                        <w:numPr>
                          <w:ilvl w:val="0"/>
                          <w:numId w:val="3"/>
                        </w:numPr>
                        <w:rPr>
                          <w:sz w:val="28"/>
                        </w:rPr>
                      </w:pPr>
                      <w:r>
                        <w:rPr>
                          <w:sz w:val="28"/>
                        </w:rPr>
                        <w:t>Собственное имущество</w:t>
                      </w:r>
                    </w:p>
                  </w:txbxContent>
                </v:textbox>
                <w10:wrap type="square"/>
              </v:shape>
            </w:pict>
          </mc:Fallback>
        </mc:AlternateContent>
      </w:r>
    </w:p>
    <w:p w14:paraId="71BDA454" w14:textId="36A94627" w:rsidR="00106428" w:rsidRPr="00106428" w:rsidRDefault="00106428" w:rsidP="00106428">
      <w:pPr>
        <w:tabs>
          <w:tab w:val="left" w:pos="2472"/>
        </w:tabs>
        <w:spacing w:line="360" w:lineRule="auto"/>
        <w:ind w:firstLine="709"/>
        <w:jc w:val="both"/>
        <w:rPr>
          <w:rFonts w:ascii="Times New Roman" w:hAnsi="Times New Roman" w:cs="Times New Roman"/>
          <w:color w:val="FF0000"/>
          <w:sz w:val="28"/>
        </w:rPr>
      </w:pPr>
      <w:r w:rsidRPr="00106428">
        <w:rPr>
          <w:rFonts w:ascii="Times New Roman" w:hAnsi="Times New Roman" w:cs="Times New Roman"/>
          <w:noProof/>
        </w:rPr>
        <mc:AlternateContent>
          <mc:Choice Requires="wps">
            <w:drawing>
              <wp:anchor distT="0" distB="0" distL="114300" distR="114300" simplePos="0" relativeHeight="251652096" behindDoc="0" locked="0" layoutInCell="1" allowOverlap="1" wp14:anchorId="42B9D7E0" wp14:editId="604AF516">
                <wp:simplePos x="0" y="0"/>
                <wp:positionH relativeFrom="column">
                  <wp:posOffset>2417445</wp:posOffset>
                </wp:positionH>
                <wp:positionV relativeFrom="paragraph">
                  <wp:posOffset>154940</wp:posOffset>
                </wp:positionV>
                <wp:extent cx="0" cy="121920"/>
                <wp:effectExtent l="76200" t="0" r="57150" b="49530"/>
                <wp:wrapNone/>
                <wp:docPr id="8" name="Прямая со стрелкой 8"/>
                <wp:cNvGraphicFramePr/>
                <a:graphic xmlns:a="http://schemas.openxmlformats.org/drawingml/2006/main">
                  <a:graphicData uri="http://schemas.microsoft.com/office/word/2010/wordprocessingShape">
                    <wps:wsp>
                      <wps:cNvCnPr/>
                      <wps:spPr>
                        <a:xfrm>
                          <a:off x="0" y="0"/>
                          <a:ext cx="0" cy="1219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7A66FF9" id="Прямая со стрелкой 8" o:spid="_x0000_s1026" type="#_x0000_t32" style="position:absolute;margin-left:190.35pt;margin-top:12.2pt;width:0;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" strokecolor="black [3200]" strokeweight=".5pt">
                <v:stroke endarrow="block" joinstyle="miter"/>
              </v:shape>
            </w:pict>
          </mc:Fallback>
        </mc:AlternateContent>
      </w:r>
      <w:r w:rsidRPr="00106428">
        <w:rPr>
          <w:rFonts w:ascii="Times New Roman" w:hAnsi="Times New Roman" w:cs="Times New Roman"/>
          <w:noProof/>
        </w:rPr>
        <mc:AlternateContent>
          <mc:Choice Requires="wps">
            <w:drawing>
              <wp:anchor distT="45720" distB="45720" distL="114300" distR="114300" simplePos="0" relativeHeight="251653120" behindDoc="0" locked="0" layoutInCell="1" allowOverlap="1" wp14:anchorId="6E9B8C21" wp14:editId="5BB3BC77">
                <wp:simplePos x="0" y="0"/>
                <wp:positionH relativeFrom="column">
                  <wp:posOffset>489585</wp:posOffset>
                </wp:positionH>
                <wp:positionV relativeFrom="paragraph">
                  <wp:posOffset>215900</wp:posOffset>
                </wp:positionV>
                <wp:extent cx="4137660" cy="308610"/>
                <wp:effectExtent l="0" t="0" r="15240" b="19050"/>
                <wp:wrapSquare wrapText="bothSides"/>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7660" cy="307975"/>
                        </a:xfrm>
                        <a:prstGeom prst="rect">
                          <a:avLst/>
                        </a:prstGeom>
                        <a:solidFill>
                          <a:srgbClr val="FFFFFF"/>
                        </a:solidFill>
                        <a:ln w="9525">
                          <a:solidFill>
                            <a:srgbClr val="000000"/>
                          </a:solidFill>
                          <a:miter lim="800000"/>
                          <a:headEnd/>
                          <a:tailEnd/>
                        </a:ln>
                      </wps:spPr>
                      <wps:txbx>
                        <w:txbxContent>
                          <w:p w14:paraId="165D7CD1" w14:textId="77777777" w:rsidR="00106428" w:rsidRDefault="00106428" w:rsidP="00106428">
                            <w:pPr>
                              <w:pStyle w:val="a5"/>
                              <w:numPr>
                                <w:ilvl w:val="0"/>
                                <w:numId w:val="3"/>
                              </w:numPr>
                              <w:rPr>
                                <w:sz w:val="28"/>
                              </w:rPr>
                            </w:pPr>
                            <w:r>
                              <w:rPr>
                                <w:sz w:val="28"/>
                              </w:rPr>
                              <w:t>Количество застрахованных лиц</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9B8C21" id="Надпись 5" o:spid="_x0000_s1028" type="#_x0000_t202" style="position:absolute;left:0;text-align:left;margin-left:38.55pt;margin-top:17pt;width:325.8pt;height:24.3pt;z-index:25165312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">
                <v:textbox style="mso-fit-shape-to-text:t">
                  <w:txbxContent>
                    <w:p w14:paraId="165D7CD1" w14:textId="77777777" w:rsidR="00106428" w:rsidRDefault="00106428" w:rsidP="00106428">
                      <w:pPr>
                        <w:pStyle w:val="a5"/>
                        <w:numPr>
                          <w:ilvl w:val="0"/>
                          <w:numId w:val="3"/>
                        </w:numPr>
                        <w:rPr>
                          <w:sz w:val="28"/>
                        </w:rPr>
                      </w:pPr>
                      <w:r>
                        <w:rPr>
                          <w:sz w:val="28"/>
                        </w:rPr>
                        <w:t>Количество застрахованных лиц</w:t>
                      </w:r>
                    </w:p>
                  </w:txbxContent>
                </v:textbox>
                <w10:wrap type="square"/>
              </v:shape>
            </w:pict>
          </mc:Fallback>
        </mc:AlternateContent>
      </w:r>
      <w:r w:rsidRPr="00106428">
        <w:rPr>
          <w:rFonts w:ascii="Times New Roman" w:hAnsi="Times New Roman" w:cs="Times New Roman"/>
          <w:color w:val="FF0000"/>
          <w:sz w:val="28"/>
        </w:rPr>
        <w:tab/>
      </w:r>
    </w:p>
    <w:p w14:paraId="135630CB" w14:textId="0528B95B" w:rsidR="00106428" w:rsidRPr="00106428" w:rsidRDefault="00106428" w:rsidP="00106428">
      <w:pPr>
        <w:spacing w:line="360" w:lineRule="auto"/>
        <w:ind w:firstLine="709"/>
        <w:jc w:val="both"/>
        <w:rPr>
          <w:rFonts w:ascii="Times New Roman" w:hAnsi="Times New Roman" w:cs="Times New Roman"/>
          <w:color w:val="FF0000"/>
          <w:sz w:val="28"/>
        </w:rPr>
      </w:pPr>
      <w:r w:rsidRPr="00106428">
        <w:rPr>
          <w:rFonts w:ascii="Times New Roman" w:hAnsi="Times New Roman" w:cs="Times New Roman"/>
          <w:noProof/>
        </w:rPr>
        <mc:AlternateContent>
          <mc:Choice Requires="wps">
            <w:drawing>
              <wp:anchor distT="0" distB="0" distL="114300" distR="114300" simplePos="0" relativeHeight="251654144" behindDoc="0" locked="0" layoutInCell="1" allowOverlap="1" wp14:anchorId="605BD36F" wp14:editId="73F7D163">
                <wp:simplePos x="0" y="0"/>
                <wp:positionH relativeFrom="column">
                  <wp:posOffset>2402205</wp:posOffset>
                </wp:positionH>
                <wp:positionV relativeFrom="paragraph">
                  <wp:posOffset>175895</wp:posOffset>
                </wp:positionV>
                <wp:extent cx="7620" cy="190500"/>
                <wp:effectExtent l="76200" t="0" r="68580" b="57150"/>
                <wp:wrapNone/>
                <wp:docPr id="9" name="Прямая со стрелкой 9"/>
                <wp:cNvGraphicFramePr/>
                <a:graphic xmlns:a="http://schemas.openxmlformats.org/drawingml/2006/main">
                  <a:graphicData uri="http://schemas.microsoft.com/office/word/2010/wordprocessingShape">
                    <wps:wsp>
                      <wps:cNvCnPr/>
                      <wps:spPr>
                        <a:xfrm flipH="1">
                          <a:off x="0" y="0"/>
                          <a:ext cx="762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094A8EE" id="Прямая со стрелкой 9" o:spid="_x0000_s1026" type="#_x0000_t32" style="position:absolute;margin-left:189.15pt;margin-top:13.85pt;width:.6pt;height: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" strokecolor="black [3200]" strokeweight=".5pt">
                <v:stroke endarrow="block" joinstyle="miter"/>
              </v:shape>
            </w:pict>
          </mc:Fallback>
        </mc:AlternateContent>
      </w:r>
    </w:p>
    <w:p w14:paraId="6C9A931E" w14:textId="5CE63D8E" w:rsidR="00106428" w:rsidRPr="00106428" w:rsidRDefault="00106428" w:rsidP="00106428">
      <w:pPr>
        <w:spacing w:line="360" w:lineRule="auto"/>
        <w:ind w:firstLine="709"/>
        <w:jc w:val="both"/>
        <w:rPr>
          <w:rFonts w:ascii="Times New Roman" w:hAnsi="Times New Roman" w:cs="Times New Roman"/>
          <w:color w:val="FF0000"/>
          <w:sz w:val="28"/>
        </w:rPr>
      </w:pPr>
      <w:r w:rsidRPr="00106428">
        <w:rPr>
          <w:rFonts w:ascii="Times New Roman" w:hAnsi="Times New Roman" w:cs="Times New Roman"/>
          <w:noProof/>
        </w:rPr>
        <mc:AlternateContent>
          <mc:Choice Requires="wps">
            <w:drawing>
              <wp:anchor distT="45720" distB="45720" distL="114300" distR="114300" simplePos="0" relativeHeight="251655168" behindDoc="0" locked="0" layoutInCell="1" allowOverlap="1" wp14:anchorId="3DCB367F" wp14:editId="245B4802">
                <wp:simplePos x="0" y="0"/>
                <wp:positionH relativeFrom="column">
                  <wp:posOffset>520065</wp:posOffset>
                </wp:positionH>
                <wp:positionV relativeFrom="paragraph">
                  <wp:posOffset>13970</wp:posOffset>
                </wp:positionV>
                <wp:extent cx="4091940" cy="457200"/>
                <wp:effectExtent l="0" t="0" r="22860" b="19050"/>
                <wp:wrapSquare wrapText="bothSides"/>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457200"/>
                        </a:xfrm>
                        <a:prstGeom prst="rect">
                          <a:avLst/>
                        </a:prstGeom>
                        <a:solidFill>
                          <a:srgbClr val="FFFFFF"/>
                        </a:solidFill>
                        <a:ln w="9525">
                          <a:solidFill>
                            <a:srgbClr val="000000"/>
                          </a:solidFill>
                          <a:miter lim="800000"/>
                          <a:headEnd/>
                          <a:tailEnd/>
                        </a:ln>
                      </wps:spPr>
                      <wps:txbx>
                        <w:txbxContent>
                          <w:p w14:paraId="1C76BAD3" w14:textId="77777777" w:rsidR="00106428" w:rsidRDefault="00106428" w:rsidP="00106428">
                            <w:pPr>
                              <w:pStyle w:val="a5"/>
                              <w:numPr>
                                <w:ilvl w:val="0"/>
                                <w:numId w:val="3"/>
                              </w:numPr>
                              <w:rPr>
                                <w:sz w:val="28"/>
                              </w:rPr>
                            </w:pPr>
                            <w:r>
                              <w:rPr>
                                <w:sz w:val="28"/>
                              </w:rPr>
                              <w:t>Объем пенсионных накоплений</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B367F" id="Надпись 6" o:spid="_x0000_s1029" type="#_x0000_t202" style="position:absolute;left:0;text-align:left;margin-left:40.95pt;margin-top:1.1pt;width:322.2pt;height:36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">
                <v:textbox>
                  <w:txbxContent>
                    <w:p w14:paraId="1C76BAD3" w14:textId="77777777" w:rsidR="00106428" w:rsidRDefault="00106428" w:rsidP="00106428">
                      <w:pPr>
                        <w:pStyle w:val="a5"/>
                        <w:numPr>
                          <w:ilvl w:val="0"/>
                          <w:numId w:val="3"/>
                        </w:numPr>
                        <w:rPr>
                          <w:sz w:val="28"/>
                        </w:rPr>
                      </w:pPr>
                      <w:r>
                        <w:rPr>
                          <w:sz w:val="28"/>
                        </w:rPr>
                        <w:t>Объем пенсионных накоплений</w:t>
                      </w:r>
                    </w:p>
                  </w:txbxContent>
                </v:textbox>
                <w10:wrap type="square"/>
              </v:shape>
            </w:pict>
          </mc:Fallback>
        </mc:AlternateContent>
      </w:r>
    </w:p>
    <w:p w14:paraId="010AC8A8" w14:textId="77777777" w:rsidR="00106428" w:rsidRPr="00106428" w:rsidRDefault="00106428" w:rsidP="00106428">
      <w:pPr>
        <w:spacing w:line="360" w:lineRule="auto"/>
        <w:ind w:firstLine="709"/>
        <w:jc w:val="both"/>
        <w:rPr>
          <w:rFonts w:ascii="Times New Roman" w:hAnsi="Times New Roman" w:cs="Times New Roman"/>
          <w:color w:val="FF0000"/>
          <w:sz w:val="28"/>
        </w:rPr>
      </w:pPr>
    </w:p>
    <w:p w14:paraId="15C09818" w14:textId="77777777" w:rsidR="00106428" w:rsidRPr="00106428" w:rsidRDefault="00106428" w:rsidP="00106428">
      <w:pPr>
        <w:spacing w:line="360" w:lineRule="auto"/>
        <w:ind w:firstLine="709"/>
        <w:jc w:val="both"/>
        <w:rPr>
          <w:rFonts w:ascii="Times New Roman" w:hAnsi="Times New Roman" w:cs="Times New Roman"/>
          <w:sz w:val="28"/>
        </w:rPr>
      </w:pPr>
      <w:r w:rsidRPr="00106428">
        <w:rPr>
          <w:rFonts w:ascii="Times New Roman" w:hAnsi="Times New Roman" w:cs="Times New Roman"/>
          <w:sz w:val="28"/>
        </w:rPr>
        <w:t>Рисунок 1 – Анализ деятельности НПФ по методике Мищенко О.А. и Леонидова Е.Г</w:t>
      </w:r>
    </w:p>
    <w:p w14:paraId="18979A01" w14:textId="77777777" w:rsidR="00106428" w:rsidRPr="00106428" w:rsidRDefault="00106428" w:rsidP="00106428">
      <w:pPr>
        <w:spacing w:after="0" w:line="360" w:lineRule="auto"/>
        <w:ind w:firstLine="709"/>
        <w:jc w:val="both"/>
        <w:rPr>
          <w:rFonts w:ascii="Times New Roman" w:hAnsi="Times New Roman" w:cs="Times New Roman"/>
          <w:sz w:val="28"/>
        </w:rPr>
      </w:pPr>
      <w:r w:rsidRPr="00106428">
        <w:rPr>
          <w:rFonts w:ascii="Times New Roman" w:hAnsi="Times New Roman" w:cs="Times New Roman"/>
          <w:sz w:val="28"/>
        </w:rPr>
        <w:t>В завершении статьи авторы выделяют проблемы, которые существуют в сфере негосударственного пенсионного обеспечения, а именно – низкий уровень доходов граждан, недостаточное количество объектов инвестирования пенсионных резервов, отсутствие необходимой информации о функционировании системы НПО.</w:t>
      </w:r>
    </w:p>
    <w:p w14:paraId="0AFBC9B5" w14:textId="77777777" w:rsidR="00106428" w:rsidRPr="00106428" w:rsidRDefault="00106428" w:rsidP="00106428">
      <w:pPr>
        <w:spacing w:after="0" w:line="360" w:lineRule="auto"/>
        <w:ind w:firstLine="709"/>
        <w:jc w:val="both"/>
        <w:rPr>
          <w:rFonts w:ascii="Times New Roman" w:hAnsi="Times New Roman" w:cs="Times New Roman"/>
          <w:sz w:val="28"/>
        </w:rPr>
      </w:pPr>
      <w:r w:rsidRPr="00106428">
        <w:rPr>
          <w:rFonts w:ascii="Times New Roman" w:hAnsi="Times New Roman" w:cs="Times New Roman"/>
          <w:sz w:val="28"/>
        </w:rPr>
        <w:t xml:space="preserve">Схожую точку зрения на оценку деятельности НПФ можно найти в работе </w:t>
      </w:r>
      <w:proofErr w:type="spellStart"/>
      <w:r w:rsidRPr="00106428">
        <w:rPr>
          <w:rFonts w:ascii="Times New Roman" w:hAnsi="Times New Roman" w:cs="Times New Roman"/>
          <w:sz w:val="28"/>
        </w:rPr>
        <w:t>Эзроха</w:t>
      </w:r>
      <w:proofErr w:type="spellEnd"/>
      <w:r w:rsidRPr="00106428">
        <w:rPr>
          <w:rFonts w:ascii="Times New Roman" w:hAnsi="Times New Roman" w:cs="Times New Roman"/>
          <w:sz w:val="28"/>
        </w:rPr>
        <w:t xml:space="preserve"> Ю.С</w:t>
      </w:r>
      <w:r w:rsidRPr="00106428">
        <w:rPr>
          <w:rStyle w:val="a6"/>
          <w:rFonts w:ascii="Times New Roman" w:hAnsi="Times New Roman" w:cs="Times New Roman"/>
          <w:sz w:val="28"/>
        </w:rPr>
        <w:footnoteReference w:id="9"/>
      </w:r>
      <w:r w:rsidRPr="00106428">
        <w:rPr>
          <w:rFonts w:ascii="Times New Roman" w:hAnsi="Times New Roman" w:cs="Times New Roman"/>
          <w:sz w:val="28"/>
        </w:rPr>
        <w:t xml:space="preserve">. Однако в своей научной статье он отмечает, что необходимо не только сравнивать накопленную доходность за несколько лет и накопленную инфляцию за тот же период, но и сравнивать этот показатель с </w:t>
      </w:r>
      <w:r w:rsidRPr="00106428">
        <w:rPr>
          <w:rFonts w:ascii="Times New Roman" w:hAnsi="Times New Roman" w:cs="Times New Roman"/>
          <w:sz w:val="28"/>
        </w:rPr>
        <w:lastRenderedPageBreak/>
        <w:t xml:space="preserve">накопленной доходностью средств ПФР. Автор акцентирует внимание на то, что нужно также учитывать вознаграждение, которое уплачивается управляющей компании даже в случае, если доход оказался ниже инфляции, был равен ей или был чуть выше ее. </w:t>
      </w:r>
    </w:p>
    <w:p w14:paraId="7875DC76" w14:textId="77777777" w:rsidR="00106428" w:rsidRPr="00106428" w:rsidRDefault="00106428" w:rsidP="00106428">
      <w:pPr>
        <w:spacing w:line="360" w:lineRule="auto"/>
        <w:ind w:firstLine="709"/>
        <w:jc w:val="both"/>
        <w:rPr>
          <w:rFonts w:ascii="Times New Roman" w:hAnsi="Times New Roman" w:cs="Times New Roman"/>
          <w:sz w:val="28"/>
        </w:rPr>
      </w:pPr>
      <w:r w:rsidRPr="00106428">
        <w:rPr>
          <w:rFonts w:ascii="Times New Roman" w:hAnsi="Times New Roman" w:cs="Times New Roman"/>
          <w:sz w:val="28"/>
        </w:rPr>
        <w:t xml:space="preserve">Оценку деятельности НПФ согласно модели </w:t>
      </w:r>
      <w:proofErr w:type="spellStart"/>
      <w:r w:rsidRPr="00106428">
        <w:rPr>
          <w:rFonts w:ascii="Times New Roman" w:hAnsi="Times New Roman" w:cs="Times New Roman"/>
          <w:sz w:val="28"/>
        </w:rPr>
        <w:t>Эзроха</w:t>
      </w:r>
      <w:proofErr w:type="spellEnd"/>
      <w:r w:rsidRPr="00106428">
        <w:rPr>
          <w:rFonts w:ascii="Times New Roman" w:hAnsi="Times New Roman" w:cs="Times New Roman"/>
          <w:sz w:val="28"/>
        </w:rPr>
        <w:t xml:space="preserve"> Ю.С. можно представить на рисунке 2.</w:t>
      </w:r>
    </w:p>
    <w:p w14:paraId="5C9789CC" w14:textId="40BE1689" w:rsidR="00106428" w:rsidRPr="00106428" w:rsidRDefault="00106428" w:rsidP="00106428">
      <w:pPr>
        <w:spacing w:line="360" w:lineRule="auto"/>
        <w:ind w:firstLine="709"/>
        <w:jc w:val="both"/>
        <w:rPr>
          <w:rFonts w:ascii="Times New Roman" w:hAnsi="Times New Roman" w:cs="Times New Roman"/>
          <w:sz w:val="28"/>
        </w:rPr>
      </w:pPr>
      <w:r w:rsidRPr="00106428">
        <w:rPr>
          <w:rFonts w:ascii="Times New Roman" w:hAnsi="Times New Roman" w:cs="Times New Roman"/>
          <w:noProof/>
        </w:rPr>
        <mc:AlternateContent>
          <mc:Choice Requires="wps">
            <w:drawing>
              <wp:anchor distT="45720" distB="45720" distL="114300" distR="114300" simplePos="0" relativeHeight="251656192" behindDoc="0" locked="0" layoutInCell="1" allowOverlap="1" wp14:anchorId="37F67290" wp14:editId="4F4C64A6">
                <wp:simplePos x="0" y="0"/>
                <wp:positionH relativeFrom="column">
                  <wp:posOffset>497205</wp:posOffset>
                </wp:positionH>
                <wp:positionV relativeFrom="paragraph">
                  <wp:posOffset>46355</wp:posOffset>
                </wp:positionV>
                <wp:extent cx="4107180" cy="518160"/>
                <wp:effectExtent l="0" t="0" r="26670" b="15240"/>
                <wp:wrapSquare wrapText="bothSides"/>
                <wp:docPr id="10" name="Надпись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180" cy="518160"/>
                        </a:xfrm>
                        <a:prstGeom prst="rect">
                          <a:avLst/>
                        </a:prstGeom>
                        <a:solidFill>
                          <a:srgbClr val="FFFFFF"/>
                        </a:solidFill>
                        <a:ln w="9525">
                          <a:solidFill>
                            <a:srgbClr val="000000"/>
                          </a:solidFill>
                          <a:miter lim="800000"/>
                          <a:headEnd/>
                          <a:tailEnd/>
                        </a:ln>
                      </wps:spPr>
                      <wps:txbx>
                        <w:txbxContent>
                          <w:p w14:paraId="54C7B8D3" w14:textId="77777777" w:rsidR="00106428" w:rsidRDefault="00106428" w:rsidP="00106428">
                            <w:pPr>
                              <w:pStyle w:val="a5"/>
                              <w:numPr>
                                <w:ilvl w:val="0"/>
                                <w:numId w:val="4"/>
                              </w:numPr>
                              <w:rPr>
                                <w:sz w:val="28"/>
                              </w:rPr>
                            </w:pPr>
                            <w:r>
                              <w:rPr>
                                <w:sz w:val="28"/>
                              </w:rPr>
                              <w:t>Сравнение накопленной доходности за несколько лет с накопленной инфляцией</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67290" id="Надпись 10" o:spid="_x0000_s1030" type="#_x0000_t202" style="position:absolute;left:0;text-align:left;margin-left:39.15pt;margin-top:3.65pt;width:323.4pt;height:40.8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">
                <v:textbox>
                  <w:txbxContent>
                    <w:p w14:paraId="54C7B8D3" w14:textId="77777777" w:rsidR="00106428" w:rsidRDefault="00106428" w:rsidP="00106428">
                      <w:pPr>
                        <w:pStyle w:val="a5"/>
                        <w:numPr>
                          <w:ilvl w:val="0"/>
                          <w:numId w:val="4"/>
                        </w:numPr>
                        <w:rPr>
                          <w:sz w:val="28"/>
                        </w:rPr>
                      </w:pPr>
                      <w:r>
                        <w:rPr>
                          <w:sz w:val="28"/>
                        </w:rPr>
                        <w:t>Сравнение накопленной доходности за несколько лет с накопленной инфляцией</w:t>
                      </w:r>
                    </w:p>
                  </w:txbxContent>
                </v:textbox>
                <w10:wrap type="square"/>
              </v:shape>
            </w:pict>
          </mc:Fallback>
        </mc:AlternateContent>
      </w:r>
    </w:p>
    <w:p w14:paraId="3C8E4122" w14:textId="125D831D" w:rsidR="00106428" w:rsidRPr="00106428" w:rsidRDefault="00106428" w:rsidP="00106428">
      <w:pPr>
        <w:spacing w:line="360" w:lineRule="auto"/>
        <w:ind w:firstLine="709"/>
        <w:jc w:val="both"/>
        <w:rPr>
          <w:rFonts w:ascii="Times New Roman" w:hAnsi="Times New Roman" w:cs="Times New Roman"/>
          <w:color w:val="FF0000"/>
          <w:sz w:val="28"/>
        </w:rPr>
      </w:pPr>
      <w:r w:rsidRPr="00106428">
        <w:rPr>
          <w:rFonts w:ascii="Times New Roman" w:hAnsi="Times New Roman" w:cs="Times New Roman"/>
          <w:noProof/>
        </w:rPr>
        <mc:AlternateContent>
          <mc:Choice Requires="wps">
            <w:drawing>
              <wp:anchor distT="0" distB="0" distL="114300" distR="114300" simplePos="0" relativeHeight="251657216" behindDoc="0" locked="0" layoutInCell="1" allowOverlap="1" wp14:anchorId="0495E2A5" wp14:editId="7869EAB1">
                <wp:simplePos x="0" y="0"/>
                <wp:positionH relativeFrom="column">
                  <wp:posOffset>2409825</wp:posOffset>
                </wp:positionH>
                <wp:positionV relativeFrom="paragraph">
                  <wp:posOffset>219710</wp:posOffset>
                </wp:positionV>
                <wp:extent cx="0" cy="182880"/>
                <wp:effectExtent l="76200" t="0" r="57150" b="64770"/>
                <wp:wrapNone/>
                <wp:docPr id="11" name="Прямая со стрелкой 11"/>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CCCC2BB" id="Прямая со стрелкой 11" o:spid="_x0000_s1026" type="#_x0000_t32" style="position:absolute;margin-left:189.75pt;margin-top:17.3pt;width:0;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" strokecolor="black [3200]" strokeweight=".5pt">
                <v:stroke endarrow="block" joinstyle="miter"/>
              </v:shape>
            </w:pict>
          </mc:Fallback>
        </mc:AlternateContent>
      </w:r>
    </w:p>
    <w:p w14:paraId="38659004" w14:textId="6A34C63A" w:rsidR="00106428" w:rsidRPr="00106428" w:rsidRDefault="00106428" w:rsidP="00106428">
      <w:pPr>
        <w:spacing w:line="360" w:lineRule="auto"/>
        <w:ind w:firstLine="709"/>
        <w:jc w:val="both"/>
        <w:rPr>
          <w:rFonts w:ascii="Times New Roman" w:hAnsi="Times New Roman" w:cs="Times New Roman"/>
          <w:color w:val="FF0000"/>
          <w:sz w:val="28"/>
        </w:rPr>
      </w:pPr>
      <w:r w:rsidRPr="00106428">
        <w:rPr>
          <w:rFonts w:ascii="Times New Roman" w:hAnsi="Times New Roman" w:cs="Times New Roman"/>
          <w:noProof/>
        </w:rPr>
        <mc:AlternateContent>
          <mc:Choice Requires="wps">
            <w:drawing>
              <wp:anchor distT="45720" distB="45720" distL="114300" distR="114300" simplePos="0" relativeHeight="251658240" behindDoc="0" locked="0" layoutInCell="1" allowOverlap="1" wp14:anchorId="05248FBD" wp14:editId="6B56562C">
                <wp:simplePos x="0" y="0"/>
                <wp:positionH relativeFrom="column">
                  <wp:posOffset>512445</wp:posOffset>
                </wp:positionH>
                <wp:positionV relativeFrom="paragraph">
                  <wp:posOffset>57785</wp:posOffset>
                </wp:positionV>
                <wp:extent cx="4099560" cy="388620"/>
                <wp:effectExtent l="0" t="0" r="15240" b="11430"/>
                <wp:wrapSquare wrapText="bothSides"/>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9560" cy="388620"/>
                        </a:xfrm>
                        <a:prstGeom prst="rect">
                          <a:avLst/>
                        </a:prstGeom>
                        <a:solidFill>
                          <a:srgbClr val="FFFFFF"/>
                        </a:solidFill>
                        <a:ln w="9525">
                          <a:solidFill>
                            <a:srgbClr val="000000"/>
                          </a:solidFill>
                          <a:miter lim="800000"/>
                          <a:headEnd/>
                          <a:tailEnd/>
                        </a:ln>
                      </wps:spPr>
                      <wps:txbx>
                        <w:txbxContent>
                          <w:p w14:paraId="5F7CA66B" w14:textId="77777777" w:rsidR="00106428" w:rsidRDefault="00106428" w:rsidP="00106428">
                            <w:pPr>
                              <w:pStyle w:val="a5"/>
                              <w:numPr>
                                <w:ilvl w:val="0"/>
                                <w:numId w:val="5"/>
                              </w:numPr>
                              <w:rPr>
                                <w:sz w:val="28"/>
                              </w:rPr>
                            </w:pPr>
                            <w:r>
                              <w:rPr>
                                <w:sz w:val="28"/>
                              </w:rPr>
                              <w:t>Собственное имущество</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248FBD" id="Надпись 12" o:spid="_x0000_s1031" type="#_x0000_t202" style="position:absolute;left:0;text-align:left;margin-left:40.35pt;margin-top:4.55pt;width:322.8pt;height:30.6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">
                <v:textbox>
                  <w:txbxContent>
                    <w:p w14:paraId="5F7CA66B" w14:textId="77777777" w:rsidR="00106428" w:rsidRDefault="00106428" w:rsidP="00106428">
                      <w:pPr>
                        <w:pStyle w:val="a5"/>
                        <w:numPr>
                          <w:ilvl w:val="0"/>
                          <w:numId w:val="5"/>
                        </w:numPr>
                        <w:rPr>
                          <w:sz w:val="28"/>
                        </w:rPr>
                      </w:pPr>
                      <w:r>
                        <w:rPr>
                          <w:sz w:val="28"/>
                        </w:rPr>
                        <w:t>Собственное имущество</w:t>
                      </w:r>
                    </w:p>
                  </w:txbxContent>
                </v:textbox>
                <w10:wrap type="square"/>
              </v:shape>
            </w:pict>
          </mc:Fallback>
        </mc:AlternateContent>
      </w:r>
    </w:p>
    <w:p w14:paraId="2B52BB0D" w14:textId="3432B907" w:rsidR="00106428" w:rsidRPr="00106428" w:rsidRDefault="00106428" w:rsidP="00106428">
      <w:pPr>
        <w:tabs>
          <w:tab w:val="left" w:pos="2472"/>
        </w:tabs>
        <w:spacing w:line="360" w:lineRule="auto"/>
        <w:ind w:firstLine="709"/>
        <w:jc w:val="both"/>
        <w:rPr>
          <w:rFonts w:ascii="Times New Roman" w:hAnsi="Times New Roman" w:cs="Times New Roman"/>
          <w:color w:val="FF0000"/>
          <w:sz w:val="28"/>
        </w:rPr>
      </w:pPr>
      <w:r w:rsidRPr="00106428">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66AAF730" wp14:editId="5A6372AA">
                <wp:simplePos x="0" y="0"/>
                <wp:positionH relativeFrom="column">
                  <wp:posOffset>2417445</wp:posOffset>
                </wp:positionH>
                <wp:positionV relativeFrom="paragraph">
                  <wp:posOffset>154940</wp:posOffset>
                </wp:positionV>
                <wp:extent cx="0" cy="121920"/>
                <wp:effectExtent l="76200" t="0" r="57150" b="49530"/>
                <wp:wrapNone/>
                <wp:docPr id="13" name="Прямая со стрелкой 13"/>
                <wp:cNvGraphicFramePr/>
                <a:graphic xmlns:a="http://schemas.openxmlformats.org/drawingml/2006/main">
                  <a:graphicData uri="http://schemas.microsoft.com/office/word/2010/wordprocessingShape">
                    <wps:wsp>
                      <wps:cNvCnPr/>
                      <wps:spPr>
                        <a:xfrm>
                          <a:off x="0" y="0"/>
                          <a:ext cx="0" cy="1219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E90F2D3" id="Прямая со стрелкой 13" o:spid="_x0000_s1026" type="#_x0000_t32" style="position:absolute;margin-left:190.35pt;margin-top:12.2pt;width:0;height:9.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" strokecolor="black [3200]" strokeweight=".5pt">
                <v:stroke endarrow="block" joinstyle="miter"/>
              </v:shape>
            </w:pict>
          </mc:Fallback>
        </mc:AlternateContent>
      </w:r>
      <w:r w:rsidRPr="00106428">
        <w:rPr>
          <w:rFonts w:ascii="Times New Roman" w:hAnsi="Times New Roman" w:cs="Times New Roman"/>
          <w:noProof/>
        </w:rPr>
        <mc:AlternateContent>
          <mc:Choice Requires="wps">
            <w:drawing>
              <wp:anchor distT="45720" distB="45720" distL="114300" distR="114300" simplePos="0" relativeHeight="251660288" behindDoc="0" locked="0" layoutInCell="1" allowOverlap="1" wp14:anchorId="47D9C8C0" wp14:editId="6928AC67">
                <wp:simplePos x="0" y="0"/>
                <wp:positionH relativeFrom="column">
                  <wp:posOffset>489585</wp:posOffset>
                </wp:positionH>
                <wp:positionV relativeFrom="paragraph">
                  <wp:posOffset>215900</wp:posOffset>
                </wp:positionV>
                <wp:extent cx="4137660" cy="308610"/>
                <wp:effectExtent l="0" t="0" r="15240" b="19050"/>
                <wp:wrapSquare wrapText="bothSides"/>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7660" cy="307975"/>
                        </a:xfrm>
                        <a:prstGeom prst="rect">
                          <a:avLst/>
                        </a:prstGeom>
                        <a:solidFill>
                          <a:srgbClr val="FFFFFF"/>
                        </a:solidFill>
                        <a:ln w="9525">
                          <a:solidFill>
                            <a:srgbClr val="000000"/>
                          </a:solidFill>
                          <a:miter lim="800000"/>
                          <a:headEnd/>
                          <a:tailEnd/>
                        </a:ln>
                      </wps:spPr>
                      <wps:txbx>
                        <w:txbxContent>
                          <w:p w14:paraId="1A420966" w14:textId="77777777" w:rsidR="00106428" w:rsidRDefault="00106428" w:rsidP="00106428">
                            <w:pPr>
                              <w:pStyle w:val="a5"/>
                              <w:numPr>
                                <w:ilvl w:val="0"/>
                                <w:numId w:val="6"/>
                              </w:numPr>
                              <w:rPr>
                                <w:sz w:val="28"/>
                              </w:rPr>
                            </w:pPr>
                            <w:r>
                              <w:rPr>
                                <w:sz w:val="28"/>
                              </w:rPr>
                              <w:t>Количество застрахованных лиц</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7D9C8C0" id="Надпись 14" o:spid="_x0000_s1032" type="#_x0000_t202" style="position:absolute;left:0;text-align:left;margin-left:38.55pt;margin-top:17pt;width:325.8pt;height:24.3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">
                <v:textbox style="mso-fit-shape-to-text:t">
                  <w:txbxContent>
                    <w:p w14:paraId="1A420966" w14:textId="77777777" w:rsidR="00106428" w:rsidRDefault="00106428" w:rsidP="00106428">
                      <w:pPr>
                        <w:pStyle w:val="a5"/>
                        <w:numPr>
                          <w:ilvl w:val="0"/>
                          <w:numId w:val="6"/>
                        </w:numPr>
                        <w:rPr>
                          <w:sz w:val="28"/>
                        </w:rPr>
                      </w:pPr>
                      <w:r>
                        <w:rPr>
                          <w:sz w:val="28"/>
                        </w:rPr>
                        <w:t>Количество застрахованных лиц</w:t>
                      </w:r>
                    </w:p>
                  </w:txbxContent>
                </v:textbox>
                <w10:wrap type="square"/>
              </v:shape>
            </w:pict>
          </mc:Fallback>
        </mc:AlternateContent>
      </w:r>
      <w:r w:rsidRPr="00106428">
        <w:rPr>
          <w:rFonts w:ascii="Times New Roman" w:hAnsi="Times New Roman" w:cs="Times New Roman"/>
          <w:color w:val="FF0000"/>
          <w:sz w:val="28"/>
        </w:rPr>
        <w:tab/>
      </w:r>
    </w:p>
    <w:p w14:paraId="1FDEB425" w14:textId="5EBD1DB6" w:rsidR="00106428" w:rsidRPr="00106428" w:rsidRDefault="00106428" w:rsidP="00106428">
      <w:pPr>
        <w:spacing w:line="360" w:lineRule="auto"/>
        <w:ind w:firstLine="709"/>
        <w:jc w:val="both"/>
        <w:rPr>
          <w:rFonts w:ascii="Times New Roman" w:hAnsi="Times New Roman" w:cs="Times New Roman"/>
          <w:color w:val="FF0000"/>
          <w:sz w:val="28"/>
        </w:rPr>
      </w:pPr>
      <w:r w:rsidRPr="00106428">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08F73F33" wp14:editId="07A1A17E">
                <wp:simplePos x="0" y="0"/>
                <wp:positionH relativeFrom="column">
                  <wp:posOffset>2402205</wp:posOffset>
                </wp:positionH>
                <wp:positionV relativeFrom="paragraph">
                  <wp:posOffset>175895</wp:posOffset>
                </wp:positionV>
                <wp:extent cx="7620" cy="190500"/>
                <wp:effectExtent l="76200" t="0" r="68580" b="57150"/>
                <wp:wrapNone/>
                <wp:docPr id="15" name="Прямая со стрелкой 15"/>
                <wp:cNvGraphicFramePr/>
                <a:graphic xmlns:a="http://schemas.openxmlformats.org/drawingml/2006/main">
                  <a:graphicData uri="http://schemas.microsoft.com/office/word/2010/wordprocessingShape">
                    <wps:wsp>
                      <wps:cNvCnPr/>
                      <wps:spPr>
                        <a:xfrm flipH="1">
                          <a:off x="0" y="0"/>
                          <a:ext cx="7620" cy="1905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A17C889" id="Прямая со стрелкой 15" o:spid="_x0000_s1026" type="#_x0000_t32" style="position:absolute;margin-left:189.15pt;margin-top:13.85pt;width:.6pt;height:1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" strokecolor="black [3200]" strokeweight=".5pt">
                <v:stroke endarrow="block" joinstyle="miter"/>
              </v:shape>
            </w:pict>
          </mc:Fallback>
        </mc:AlternateContent>
      </w:r>
    </w:p>
    <w:p w14:paraId="3DB1C1CA" w14:textId="7AB41164" w:rsidR="00106428" w:rsidRPr="00106428" w:rsidRDefault="00106428" w:rsidP="00106428">
      <w:pPr>
        <w:spacing w:line="360" w:lineRule="auto"/>
        <w:ind w:firstLine="709"/>
        <w:jc w:val="both"/>
        <w:rPr>
          <w:rFonts w:ascii="Times New Roman" w:hAnsi="Times New Roman" w:cs="Times New Roman"/>
          <w:color w:val="FF0000"/>
          <w:sz w:val="28"/>
        </w:rPr>
      </w:pPr>
      <w:r w:rsidRPr="00106428">
        <w:rPr>
          <w:rFonts w:ascii="Times New Roman" w:hAnsi="Times New Roman" w:cs="Times New Roman"/>
          <w:noProof/>
        </w:rPr>
        <mc:AlternateContent>
          <mc:Choice Requires="wps">
            <w:drawing>
              <wp:anchor distT="45720" distB="45720" distL="114300" distR="114300" simplePos="0" relativeHeight="251662336" behindDoc="0" locked="0" layoutInCell="1" allowOverlap="1" wp14:anchorId="10404C04" wp14:editId="3C8FFB9A">
                <wp:simplePos x="0" y="0"/>
                <wp:positionH relativeFrom="column">
                  <wp:posOffset>520065</wp:posOffset>
                </wp:positionH>
                <wp:positionV relativeFrom="paragraph">
                  <wp:posOffset>13970</wp:posOffset>
                </wp:positionV>
                <wp:extent cx="4091940" cy="457200"/>
                <wp:effectExtent l="0" t="0" r="22860" b="19050"/>
                <wp:wrapSquare wrapText="bothSides"/>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457200"/>
                        </a:xfrm>
                        <a:prstGeom prst="rect">
                          <a:avLst/>
                        </a:prstGeom>
                        <a:solidFill>
                          <a:srgbClr val="FFFFFF"/>
                        </a:solidFill>
                        <a:ln w="9525">
                          <a:solidFill>
                            <a:srgbClr val="000000"/>
                          </a:solidFill>
                          <a:miter lim="800000"/>
                          <a:headEnd/>
                          <a:tailEnd/>
                        </a:ln>
                      </wps:spPr>
                      <wps:txbx>
                        <w:txbxContent>
                          <w:p w14:paraId="3578FECE" w14:textId="77777777" w:rsidR="00106428" w:rsidRDefault="00106428" w:rsidP="00106428">
                            <w:pPr>
                              <w:pStyle w:val="a5"/>
                              <w:numPr>
                                <w:ilvl w:val="0"/>
                                <w:numId w:val="7"/>
                              </w:numPr>
                              <w:rPr>
                                <w:sz w:val="28"/>
                              </w:rPr>
                            </w:pPr>
                            <w:r>
                              <w:rPr>
                                <w:sz w:val="28"/>
                              </w:rPr>
                              <w:t>Объем пенсионных накоплений</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404C04" id="Надпись 16" o:spid="_x0000_s1033" type="#_x0000_t202" style="position:absolute;left:0;text-align:left;margin-left:40.95pt;margin-top:1.1pt;width:322.2pt;height:36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">
                <v:textbox>
                  <w:txbxContent>
                    <w:p w14:paraId="3578FECE" w14:textId="77777777" w:rsidR="00106428" w:rsidRDefault="00106428" w:rsidP="00106428">
                      <w:pPr>
                        <w:pStyle w:val="a5"/>
                        <w:numPr>
                          <w:ilvl w:val="0"/>
                          <w:numId w:val="7"/>
                        </w:numPr>
                        <w:rPr>
                          <w:sz w:val="28"/>
                        </w:rPr>
                      </w:pPr>
                      <w:r>
                        <w:rPr>
                          <w:sz w:val="28"/>
                        </w:rPr>
                        <w:t>Объем пенсионных накоплений</w:t>
                      </w:r>
                    </w:p>
                  </w:txbxContent>
                </v:textbox>
                <w10:wrap type="square"/>
              </v:shape>
            </w:pict>
          </mc:Fallback>
        </mc:AlternateContent>
      </w:r>
    </w:p>
    <w:p w14:paraId="67642DC2" w14:textId="5A65E2A1" w:rsidR="00106428" w:rsidRPr="00106428" w:rsidRDefault="00106428" w:rsidP="00106428">
      <w:pPr>
        <w:spacing w:line="360" w:lineRule="auto"/>
        <w:ind w:firstLine="709"/>
        <w:jc w:val="both"/>
        <w:rPr>
          <w:rFonts w:ascii="Times New Roman" w:hAnsi="Times New Roman" w:cs="Times New Roman"/>
          <w:color w:val="FF0000"/>
          <w:sz w:val="28"/>
        </w:rPr>
      </w:pPr>
      <w:r w:rsidRPr="00106428">
        <w:rPr>
          <w:rFonts w:ascii="Times New Roman" w:hAnsi="Times New Roman" w:cs="Times New Roman"/>
          <w:noProof/>
        </w:rPr>
        <mc:AlternateContent>
          <mc:Choice Requires="wps">
            <w:drawing>
              <wp:anchor distT="0" distB="0" distL="114300" distR="114300" simplePos="0" relativeHeight="251663360" behindDoc="0" locked="0" layoutInCell="1" allowOverlap="1" wp14:anchorId="0DB0E9AE" wp14:editId="087DBA6F">
                <wp:simplePos x="0" y="0"/>
                <wp:positionH relativeFrom="column">
                  <wp:posOffset>2463165</wp:posOffset>
                </wp:positionH>
                <wp:positionV relativeFrom="paragraph">
                  <wp:posOffset>163830</wp:posOffset>
                </wp:positionV>
                <wp:extent cx="0" cy="182880"/>
                <wp:effectExtent l="76200" t="0" r="57150" b="64770"/>
                <wp:wrapNone/>
                <wp:docPr id="18" name="Прямая со стрелкой 18"/>
                <wp:cNvGraphicFramePr/>
                <a:graphic xmlns:a="http://schemas.openxmlformats.org/drawingml/2006/main">
                  <a:graphicData uri="http://schemas.microsoft.com/office/word/2010/wordprocessingShape">
                    <wps:wsp>
                      <wps:cNvCnPr/>
                      <wps:spPr>
                        <a:xfrm>
                          <a:off x="0" y="0"/>
                          <a:ext cx="0" cy="18288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DD18EA8" id="Прямая со стрелкой 18" o:spid="_x0000_s1026" type="#_x0000_t32" style="position:absolute;margin-left:193.95pt;margin-top:12.9pt;width:0;height:1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" strokecolor="black [3200]" strokeweight=".5pt">
                <v:stroke endarrow="block" joinstyle="miter"/>
              </v:shape>
            </w:pict>
          </mc:Fallback>
        </mc:AlternateContent>
      </w:r>
      <w:r w:rsidRPr="00106428">
        <w:rPr>
          <w:rFonts w:ascii="Times New Roman" w:hAnsi="Times New Roman" w:cs="Times New Roman"/>
          <w:noProof/>
        </w:rPr>
        <mc:AlternateContent>
          <mc:Choice Requires="wps">
            <w:drawing>
              <wp:anchor distT="45720" distB="45720" distL="114300" distR="114300" simplePos="0" relativeHeight="251664384" behindDoc="0" locked="0" layoutInCell="1" allowOverlap="1" wp14:anchorId="570182D7" wp14:editId="066D8AB9">
                <wp:simplePos x="0" y="0"/>
                <wp:positionH relativeFrom="column">
                  <wp:posOffset>520065</wp:posOffset>
                </wp:positionH>
                <wp:positionV relativeFrom="paragraph">
                  <wp:posOffset>246380</wp:posOffset>
                </wp:positionV>
                <wp:extent cx="4091940" cy="579120"/>
                <wp:effectExtent l="0" t="0" r="22860" b="11430"/>
                <wp:wrapSquare wrapText="bothSides"/>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1940" cy="579120"/>
                        </a:xfrm>
                        <a:prstGeom prst="rect">
                          <a:avLst/>
                        </a:prstGeom>
                        <a:solidFill>
                          <a:srgbClr val="FFFFFF"/>
                        </a:solidFill>
                        <a:ln w="9525">
                          <a:solidFill>
                            <a:srgbClr val="000000"/>
                          </a:solidFill>
                          <a:miter lim="800000"/>
                          <a:headEnd/>
                          <a:tailEnd/>
                        </a:ln>
                      </wps:spPr>
                      <wps:txbx>
                        <w:txbxContent>
                          <w:p w14:paraId="493A0061" w14:textId="77777777" w:rsidR="00106428" w:rsidRDefault="00106428" w:rsidP="00106428">
                            <w:pPr>
                              <w:pStyle w:val="a5"/>
                              <w:numPr>
                                <w:ilvl w:val="0"/>
                                <w:numId w:val="7"/>
                              </w:numPr>
                              <w:rPr>
                                <w:sz w:val="28"/>
                              </w:rPr>
                            </w:pPr>
                            <w:r>
                              <w:rPr>
                                <w:sz w:val="28"/>
                              </w:rPr>
                              <w:t xml:space="preserve">Сравнение накопленной доходности НПФ с накопленной доходностью ПФР </w:t>
                            </w: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0182D7" id="Надпись 17" o:spid="_x0000_s1034" type="#_x0000_t202" style="position:absolute;left:0;text-align:left;margin-left:40.95pt;margin-top:19.4pt;width:322.2pt;height:45.6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">
                <v:textbox>
                  <w:txbxContent>
                    <w:p w14:paraId="493A0061" w14:textId="77777777" w:rsidR="00106428" w:rsidRDefault="00106428" w:rsidP="00106428">
                      <w:pPr>
                        <w:pStyle w:val="a5"/>
                        <w:numPr>
                          <w:ilvl w:val="0"/>
                          <w:numId w:val="7"/>
                        </w:numPr>
                        <w:rPr>
                          <w:sz w:val="28"/>
                        </w:rPr>
                      </w:pPr>
                      <w:r>
                        <w:rPr>
                          <w:sz w:val="28"/>
                        </w:rPr>
                        <w:t xml:space="preserve">Сравнение накопленной доходности НПФ с накопленной доходностью ПФР </w:t>
                      </w:r>
                    </w:p>
                  </w:txbxContent>
                </v:textbox>
                <w10:wrap type="square"/>
              </v:shape>
            </w:pict>
          </mc:Fallback>
        </mc:AlternateContent>
      </w:r>
    </w:p>
    <w:p w14:paraId="093C6158" w14:textId="77777777" w:rsidR="00106428" w:rsidRPr="00106428" w:rsidRDefault="00106428" w:rsidP="00106428">
      <w:pPr>
        <w:spacing w:line="360" w:lineRule="auto"/>
        <w:ind w:firstLine="709"/>
        <w:jc w:val="both"/>
        <w:rPr>
          <w:rFonts w:ascii="Times New Roman" w:hAnsi="Times New Roman" w:cs="Times New Roman"/>
          <w:sz w:val="28"/>
        </w:rPr>
      </w:pPr>
    </w:p>
    <w:p w14:paraId="6C6F15BA" w14:textId="77777777" w:rsidR="00106428" w:rsidRPr="00106428" w:rsidRDefault="00106428" w:rsidP="00106428">
      <w:pPr>
        <w:spacing w:line="360" w:lineRule="auto"/>
        <w:ind w:firstLine="709"/>
        <w:jc w:val="both"/>
        <w:rPr>
          <w:rFonts w:ascii="Times New Roman" w:hAnsi="Times New Roman" w:cs="Times New Roman"/>
          <w:sz w:val="28"/>
        </w:rPr>
      </w:pPr>
    </w:p>
    <w:p w14:paraId="7CA17993" w14:textId="77777777" w:rsidR="00106428" w:rsidRPr="00106428" w:rsidRDefault="00106428" w:rsidP="00106428">
      <w:pPr>
        <w:spacing w:line="360" w:lineRule="auto"/>
        <w:ind w:firstLine="709"/>
        <w:jc w:val="both"/>
        <w:rPr>
          <w:rFonts w:ascii="Times New Roman" w:hAnsi="Times New Roman" w:cs="Times New Roman"/>
          <w:sz w:val="28"/>
        </w:rPr>
      </w:pPr>
      <w:r w:rsidRPr="00106428">
        <w:rPr>
          <w:rFonts w:ascii="Times New Roman" w:hAnsi="Times New Roman" w:cs="Times New Roman"/>
          <w:sz w:val="28"/>
        </w:rPr>
        <w:t xml:space="preserve">Рисунок 2 – Анализ деятельности НПФ по методике </w:t>
      </w:r>
      <w:proofErr w:type="spellStart"/>
      <w:r w:rsidRPr="00106428">
        <w:rPr>
          <w:rFonts w:ascii="Times New Roman" w:hAnsi="Times New Roman" w:cs="Times New Roman"/>
          <w:sz w:val="28"/>
        </w:rPr>
        <w:t>Эзроха</w:t>
      </w:r>
      <w:proofErr w:type="spellEnd"/>
      <w:r w:rsidRPr="00106428">
        <w:rPr>
          <w:rFonts w:ascii="Times New Roman" w:hAnsi="Times New Roman" w:cs="Times New Roman"/>
          <w:sz w:val="28"/>
        </w:rPr>
        <w:t xml:space="preserve"> Ю.С</w:t>
      </w:r>
    </w:p>
    <w:p w14:paraId="59C20A17" w14:textId="77777777" w:rsidR="00106428" w:rsidRPr="00106428" w:rsidRDefault="00106428" w:rsidP="00106428">
      <w:pPr>
        <w:spacing w:after="0" w:line="360" w:lineRule="auto"/>
        <w:ind w:firstLine="709"/>
        <w:jc w:val="both"/>
        <w:rPr>
          <w:rFonts w:ascii="Times New Roman" w:hAnsi="Times New Roman" w:cs="Times New Roman"/>
          <w:sz w:val="28"/>
        </w:rPr>
      </w:pPr>
      <w:r w:rsidRPr="00106428">
        <w:rPr>
          <w:rFonts w:ascii="Times New Roman" w:hAnsi="Times New Roman" w:cs="Times New Roman"/>
          <w:sz w:val="28"/>
        </w:rPr>
        <w:t>Демидова С.Е и Ибрагимова Р.И в своей научных трудах предлагают анализировать следующие показатели при выборе НПФ</w:t>
      </w:r>
      <w:r w:rsidRPr="00106428">
        <w:rPr>
          <w:rStyle w:val="a6"/>
          <w:rFonts w:ascii="Times New Roman" w:hAnsi="Times New Roman" w:cs="Times New Roman"/>
          <w:sz w:val="28"/>
        </w:rPr>
        <w:footnoteReference w:id="10"/>
      </w:r>
      <w:r w:rsidRPr="00106428">
        <w:rPr>
          <w:rFonts w:ascii="Times New Roman" w:hAnsi="Times New Roman" w:cs="Times New Roman"/>
          <w:sz w:val="28"/>
        </w:rPr>
        <w:t>:</w:t>
      </w:r>
    </w:p>
    <w:p w14:paraId="040A00C8" w14:textId="77777777" w:rsidR="00106428" w:rsidRPr="00106428" w:rsidRDefault="00106428" w:rsidP="00106428">
      <w:pPr>
        <w:pStyle w:val="a5"/>
        <w:numPr>
          <w:ilvl w:val="0"/>
          <w:numId w:val="8"/>
        </w:numPr>
        <w:spacing w:line="360" w:lineRule="auto"/>
        <w:ind w:left="0" w:firstLine="709"/>
        <w:jc w:val="both"/>
        <w:rPr>
          <w:sz w:val="28"/>
        </w:rPr>
      </w:pPr>
      <w:r w:rsidRPr="00106428">
        <w:rPr>
          <w:sz w:val="28"/>
        </w:rPr>
        <w:t>Возраст НПФ. По мнению авторов если фонд был создан до 2002 года, или до 1998 года, то фонд является надежным, так как он смог пережить два экономических кризиса</w:t>
      </w:r>
    </w:p>
    <w:p w14:paraId="0ECCA5C4" w14:textId="77777777" w:rsidR="00106428" w:rsidRPr="00106428" w:rsidRDefault="00106428" w:rsidP="00106428">
      <w:pPr>
        <w:pStyle w:val="a5"/>
        <w:numPr>
          <w:ilvl w:val="0"/>
          <w:numId w:val="8"/>
        </w:numPr>
        <w:spacing w:line="360" w:lineRule="auto"/>
        <w:ind w:left="0" w:firstLine="709"/>
        <w:jc w:val="both"/>
        <w:rPr>
          <w:sz w:val="28"/>
        </w:rPr>
      </w:pPr>
      <w:r w:rsidRPr="00106428">
        <w:rPr>
          <w:sz w:val="28"/>
        </w:rPr>
        <w:t>Объем пенсионных накоплений и пенсионных резервов</w:t>
      </w:r>
    </w:p>
    <w:p w14:paraId="5C001104" w14:textId="77777777" w:rsidR="00106428" w:rsidRPr="00106428" w:rsidRDefault="00106428" w:rsidP="00106428">
      <w:pPr>
        <w:pStyle w:val="a5"/>
        <w:numPr>
          <w:ilvl w:val="0"/>
          <w:numId w:val="8"/>
        </w:numPr>
        <w:spacing w:line="360" w:lineRule="auto"/>
        <w:ind w:left="0" w:firstLine="709"/>
        <w:jc w:val="both"/>
        <w:rPr>
          <w:sz w:val="28"/>
        </w:rPr>
      </w:pPr>
      <w:r w:rsidRPr="00106428">
        <w:rPr>
          <w:sz w:val="28"/>
        </w:rPr>
        <w:t xml:space="preserve">Состав учредителей. Авторы считают, что если учредителем </w:t>
      </w:r>
      <w:r w:rsidRPr="00106428">
        <w:rPr>
          <w:sz w:val="28"/>
        </w:rPr>
        <w:lastRenderedPageBreak/>
        <w:t>фонда является крупный представитель реального сектора, то такой фонд является надежным</w:t>
      </w:r>
    </w:p>
    <w:p w14:paraId="0999A4DE" w14:textId="77777777" w:rsidR="00106428" w:rsidRPr="00106428" w:rsidRDefault="00106428" w:rsidP="00106428">
      <w:pPr>
        <w:pStyle w:val="a5"/>
        <w:numPr>
          <w:ilvl w:val="0"/>
          <w:numId w:val="8"/>
        </w:numPr>
        <w:spacing w:line="360" w:lineRule="auto"/>
        <w:ind w:left="0" w:firstLine="709"/>
        <w:jc w:val="both"/>
        <w:rPr>
          <w:sz w:val="28"/>
        </w:rPr>
      </w:pPr>
      <w:r w:rsidRPr="00106428">
        <w:rPr>
          <w:sz w:val="28"/>
        </w:rPr>
        <w:t>Накопленная доходность (минимум за 3 года)</w:t>
      </w:r>
    </w:p>
    <w:p w14:paraId="66568707" w14:textId="77777777" w:rsidR="00106428" w:rsidRPr="00106428" w:rsidRDefault="00106428" w:rsidP="00106428">
      <w:pPr>
        <w:pStyle w:val="a5"/>
        <w:numPr>
          <w:ilvl w:val="0"/>
          <w:numId w:val="8"/>
        </w:numPr>
        <w:spacing w:line="360" w:lineRule="auto"/>
        <w:ind w:left="0" w:firstLine="709"/>
        <w:jc w:val="both"/>
        <w:rPr>
          <w:sz w:val="28"/>
        </w:rPr>
      </w:pPr>
      <w:r w:rsidRPr="00106428">
        <w:rPr>
          <w:sz w:val="28"/>
        </w:rPr>
        <w:t>Рейтинг</w:t>
      </w:r>
    </w:p>
    <w:p w14:paraId="20870218" w14:textId="77777777" w:rsidR="00106428" w:rsidRPr="00106428" w:rsidRDefault="00106428" w:rsidP="00106428">
      <w:pPr>
        <w:pStyle w:val="a5"/>
        <w:spacing w:line="360" w:lineRule="auto"/>
        <w:ind w:left="0" w:firstLine="709"/>
        <w:jc w:val="both"/>
        <w:rPr>
          <w:sz w:val="28"/>
        </w:rPr>
      </w:pPr>
      <w:r w:rsidRPr="00106428">
        <w:rPr>
          <w:sz w:val="28"/>
        </w:rPr>
        <w:t>Таблица 2 - Сравнительная характеристика подходов к оценке деятельности НПФ.</w:t>
      </w:r>
    </w:p>
    <w:tbl>
      <w:tblPr>
        <w:tblStyle w:val="a7"/>
        <w:tblW w:w="0" w:type="auto"/>
        <w:tblInd w:w="0" w:type="dxa"/>
        <w:tblLook w:val="04A0" w:firstRow="1" w:lastRow="0" w:firstColumn="1" w:lastColumn="0" w:noHBand="0" w:noVBand="1"/>
      </w:tblPr>
      <w:tblGrid>
        <w:gridCol w:w="4106"/>
        <w:gridCol w:w="4961"/>
      </w:tblGrid>
      <w:tr w:rsidR="00106428" w:rsidRPr="00106428" w14:paraId="50A45FBB" w14:textId="77777777" w:rsidTr="00106428">
        <w:tc>
          <w:tcPr>
            <w:tcW w:w="4106" w:type="dxa"/>
            <w:tcBorders>
              <w:top w:val="single" w:sz="4" w:space="0" w:color="auto"/>
              <w:left w:val="single" w:sz="4" w:space="0" w:color="auto"/>
              <w:bottom w:val="single" w:sz="4" w:space="0" w:color="auto"/>
              <w:right w:val="single" w:sz="4" w:space="0" w:color="auto"/>
            </w:tcBorders>
            <w:hideMark/>
          </w:tcPr>
          <w:p w14:paraId="7668116E" w14:textId="77777777" w:rsidR="00106428" w:rsidRPr="00106428" w:rsidRDefault="00106428">
            <w:pPr>
              <w:pStyle w:val="a5"/>
              <w:spacing w:line="360" w:lineRule="auto"/>
              <w:ind w:left="0"/>
              <w:jc w:val="both"/>
              <w:rPr>
                <w:sz w:val="28"/>
                <w:lang w:eastAsia="en-US"/>
              </w:rPr>
            </w:pPr>
            <w:r w:rsidRPr="00106428">
              <w:rPr>
                <w:sz w:val="28"/>
                <w:lang w:eastAsia="en-US"/>
              </w:rPr>
              <w:t>Показатель</w:t>
            </w:r>
          </w:p>
        </w:tc>
        <w:tc>
          <w:tcPr>
            <w:tcW w:w="4961" w:type="dxa"/>
            <w:tcBorders>
              <w:top w:val="single" w:sz="4" w:space="0" w:color="auto"/>
              <w:left w:val="single" w:sz="4" w:space="0" w:color="auto"/>
              <w:bottom w:val="single" w:sz="4" w:space="0" w:color="auto"/>
              <w:right w:val="single" w:sz="4" w:space="0" w:color="auto"/>
            </w:tcBorders>
            <w:hideMark/>
          </w:tcPr>
          <w:p w14:paraId="1171AA71" w14:textId="77777777" w:rsidR="00106428" w:rsidRPr="00106428" w:rsidRDefault="00106428">
            <w:pPr>
              <w:pStyle w:val="a5"/>
              <w:spacing w:line="360" w:lineRule="auto"/>
              <w:ind w:left="0"/>
              <w:jc w:val="both"/>
              <w:rPr>
                <w:sz w:val="28"/>
                <w:lang w:eastAsia="en-US"/>
              </w:rPr>
            </w:pPr>
            <w:r w:rsidRPr="00106428">
              <w:rPr>
                <w:sz w:val="28"/>
                <w:lang w:eastAsia="en-US"/>
              </w:rPr>
              <w:t>Автор, который предлагает использовать</w:t>
            </w:r>
          </w:p>
        </w:tc>
      </w:tr>
      <w:tr w:rsidR="00106428" w:rsidRPr="00106428" w14:paraId="341D9D43" w14:textId="77777777" w:rsidTr="00106428">
        <w:tc>
          <w:tcPr>
            <w:tcW w:w="4106" w:type="dxa"/>
            <w:tcBorders>
              <w:top w:val="single" w:sz="4" w:space="0" w:color="auto"/>
              <w:left w:val="single" w:sz="4" w:space="0" w:color="auto"/>
              <w:bottom w:val="single" w:sz="4" w:space="0" w:color="auto"/>
              <w:right w:val="single" w:sz="4" w:space="0" w:color="auto"/>
            </w:tcBorders>
            <w:hideMark/>
          </w:tcPr>
          <w:p w14:paraId="4CF968FE" w14:textId="77777777" w:rsidR="00106428" w:rsidRPr="00106428" w:rsidRDefault="00106428">
            <w:pPr>
              <w:pStyle w:val="a5"/>
              <w:spacing w:line="360" w:lineRule="auto"/>
              <w:ind w:left="0"/>
              <w:jc w:val="both"/>
              <w:rPr>
                <w:sz w:val="28"/>
                <w:lang w:eastAsia="en-US"/>
              </w:rPr>
            </w:pPr>
            <w:r w:rsidRPr="00106428">
              <w:rPr>
                <w:sz w:val="28"/>
                <w:lang w:eastAsia="en-US"/>
              </w:rPr>
              <w:t>Возраст НПФ</w:t>
            </w:r>
          </w:p>
        </w:tc>
        <w:tc>
          <w:tcPr>
            <w:tcW w:w="4961" w:type="dxa"/>
            <w:tcBorders>
              <w:top w:val="single" w:sz="4" w:space="0" w:color="auto"/>
              <w:left w:val="single" w:sz="4" w:space="0" w:color="auto"/>
              <w:bottom w:val="single" w:sz="4" w:space="0" w:color="auto"/>
              <w:right w:val="single" w:sz="4" w:space="0" w:color="auto"/>
            </w:tcBorders>
            <w:hideMark/>
          </w:tcPr>
          <w:p w14:paraId="173DACDF" w14:textId="77777777" w:rsidR="00106428" w:rsidRPr="00106428" w:rsidRDefault="00106428">
            <w:pPr>
              <w:pStyle w:val="a5"/>
              <w:spacing w:line="360" w:lineRule="auto"/>
              <w:ind w:left="0"/>
              <w:jc w:val="both"/>
              <w:rPr>
                <w:sz w:val="28"/>
                <w:lang w:eastAsia="en-US"/>
              </w:rPr>
            </w:pPr>
            <w:r w:rsidRPr="00106428">
              <w:rPr>
                <w:sz w:val="28"/>
                <w:lang w:eastAsia="en-US"/>
              </w:rPr>
              <w:t>Демидова С.Е и Ибрагимова Р.И</w:t>
            </w:r>
          </w:p>
        </w:tc>
      </w:tr>
      <w:tr w:rsidR="00106428" w:rsidRPr="00106428" w14:paraId="510C9A24" w14:textId="77777777" w:rsidTr="00106428">
        <w:tc>
          <w:tcPr>
            <w:tcW w:w="4106" w:type="dxa"/>
            <w:tcBorders>
              <w:top w:val="single" w:sz="4" w:space="0" w:color="auto"/>
              <w:left w:val="single" w:sz="4" w:space="0" w:color="auto"/>
              <w:bottom w:val="single" w:sz="4" w:space="0" w:color="auto"/>
              <w:right w:val="single" w:sz="4" w:space="0" w:color="auto"/>
            </w:tcBorders>
            <w:hideMark/>
          </w:tcPr>
          <w:p w14:paraId="6F26DA4B" w14:textId="77777777" w:rsidR="00106428" w:rsidRPr="00106428" w:rsidRDefault="00106428">
            <w:pPr>
              <w:pStyle w:val="a5"/>
              <w:spacing w:line="360" w:lineRule="auto"/>
              <w:ind w:left="0"/>
              <w:jc w:val="both"/>
              <w:rPr>
                <w:sz w:val="28"/>
                <w:lang w:eastAsia="en-US"/>
              </w:rPr>
            </w:pPr>
            <w:r w:rsidRPr="00106428">
              <w:rPr>
                <w:sz w:val="28"/>
                <w:lang w:eastAsia="en-US"/>
              </w:rPr>
              <w:t>Объем пенсионных накоплений и резервов</w:t>
            </w:r>
          </w:p>
        </w:tc>
        <w:tc>
          <w:tcPr>
            <w:tcW w:w="4961" w:type="dxa"/>
            <w:tcBorders>
              <w:top w:val="single" w:sz="4" w:space="0" w:color="auto"/>
              <w:left w:val="single" w:sz="4" w:space="0" w:color="auto"/>
              <w:bottom w:val="single" w:sz="4" w:space="0" w:color="auto"/>
              <w:right w:val="single" w:sz="4" w:space="0" w:color="auto"/>
            </w:tcBorders>
          </w:tcPr>
          <w:p w14:paraId="40916FF9" w14:textId="77777777" w:rsidR="00106428" w:rsidRPr="00106428" w:rsidRDefault="00106428">
            <w:pPr>
              <w:spacing w:line="360" w:lineRule="auto"/>
              <w:jc w:val="both"/>
              <w:rPr>
                <w:rFonts w:ascii="Times New Roman" w:hAnsi="Times New Roman" w:cs="Times New Roman"/>
                <w:sz w:val="28"/>
              </w:rPr>
            </w:pPr>
            <w:r w:rsidRPr="00106428">
              <w:rPr>
                <w:rFonts w:ascii="Times New Roman" w:hAnsi="Times New Roman" w:cs="Times New Roman"/>
                <w:sz w:val="28"/>
              </w:rPr>
              <w:t xml:space="preserve">Демидова С.Е и Ибрагимова Р.И, </w:t>
            </w:r>
            <w:proofErr w:type="spellStart"/>
            <w:r w:rsidRPr="00106428">
              <w:rPr>
                <w:rFonts w:ascii="Times New Roman" w:hAnsi="Times New Roman" w:cs="Times New Roman"/>
                <w:sz w:val="28"/>
              </w:rPr>
              <w:t>Эзрох</w:t>
            </w:r>
            <w:proofErr w:type="spellEnd"/>
            <w:r w:rsidRPr="00106428">
              <w:rPr>
                <w:rFonts w:ascii="Times New Roman" w:hAnsi="Times New Roman" w:cs="Times New Roman"/>
                <w:sz w:val="28"/>
              </w:rPr>
              <w:t xml:space="preserve"> Ю.С., Мищенко О.А. и Леонидова Е.Г</w:t>
            </w:r>
          </w:p>
          <w:p w14:paraId="26817FB2" w14:textId="77777777" w:rsidR="00106428" w:rsidRPr="00106428" w:rsidRDefault="00106428">
            <w:pPr>
              <w:pStyle w:val="a5"/>
              <w:spacing w:line="360" w:lineRule="auto"/>
              <w:ind w:left="0"/>
              <w:jc w:val="both"/>
              <w:rPr>
                <w:sz w:val="28"/>
                <w:lang w:eastAsia="en-US"/>
              </w:rPr>
            </w:pPr>
          </w:p>
        </w:tc>
      </w:tr>
      <w:tr w:rsidR="00106428" w:rsidRPr="00106428" w14:paraId="6D10198D" w14:textId="77777777" w:rsidTr="00106428">
        <w:tc>
          <w:tcPr>
            <w:tcW w:w="4106" w:type="dxa"/>
            <w:tcBorders>
              <w:top w:val="single" w:sz="4" w:space="0" w:color="auto"/>
              <w:left w:val="single" w:sz="4" w:space="0" w:color="auto"/>
              <w:bottom w:val="single" w:sz="4" w:space="0" w:color="auto"/>
              <w:right w:val="single" w:sz="4" w:space="0" w:color="auto"/>
            </w:tcBorders>
            <w:hideMark/>
          </w:tcPr>
          <w:p w14:paraId="6B82460B" w14:textId="77777777" w:rsidR="00106428" w:rsidRPr="00106428" w:rsidRDefault="00106428">
            <w:pPr>
              <w:pStyle w:val="a5"/>
              <w:spacing w:line="360" w:lineRule="auto"/>
              <w:ind w:left="0"/>
              <w:jc w:val="both"/>
              <w:rPr>
                <w:sz w:val="28"/>
                <w:lang w:eastAsia="en-US"/>
              </w:rPr>
            </w:pPr>
            <w:r w:rsidRPr="00106428">
              <w:rPr>
                <w:sz w:val="28"/>
                <w:lang w:eastAsia="en-US"/>
              </w:rPr>
              <w:t>Состав учредителей</w:t>
            </w:r>
          </w:p>
        </w:tc>
        <w:tc>
          <w:tcPr>
            <w:tcW w:w="4961" w:type="dxa"/>
            <w:tcBorders>
              <w:top w:val="single" w:sz="4" w:space="0" w:color="auto"/>
              <w:left w:val="single" w:sz="4" w:space="0" w:color="auto"/>
              <w:bottom w:val="single" w:sz="4" w:space="0" w:color="auto"/>
              <w:right w:val="single" w:sz="4" w:space="0" w:color="auto"/>
            </w:tcBorders>
            <w:hideMark/>
          </w:tcPr>
          <w:p w14:paraId="7FC61492" w14:textId="77777777" w:rsidR="00106428" w:rsidRPr="00106428" w:rsidRDefault="00106428">
            <w:pPr>
              <w:pStyle w:val="a5"/>
              <w:spacing w:line="360" w:lineRule="auto"/>
              <w:ind w:left="0"/>
              <w:jc w:val="both"/>
              <w:rPr>
                <w:sz w:val="28"/>
                <w:lang w:eastAsia="en-US"/>
              </w:rPr>
            </w:pPr>
            <w:r w:rsidRPr="00106428">
              <w:rPr>
                <w:sz w:val="28"/>
                <w:lang w:eastAsia="en-US"/>
              </w:rPr>
              <w:t>Демидова С.Е и Ибрагимова Р.И</w:t>
            </w:r>
          </w:p>
        </w:tc>
      </w:tr>
      <w:tr w:rsidR="00106428" w:rsidRPr="00106428" w14:paraId="1A78CFF2" w14:textId="77777777" w:rsidTr="00106428">
        <w:tc>
          <w:tcPr>
            <w:tcW w:w="4106" w:type="dxa"/>
            <w:tcBorders>
              <w:top w:val="single" w:sz="4" w:space="0" w:color="auto"/>
              <w:left w:val="single" w:sz="4" w:space="0" w:color="auto"/>
              <w:bottom w:val="single" w:sz="4" w:space="0" w:color="auto"/>
              <w:right w:val="single" w:sz="4" w:space="0" w:color="auto"/>
            </w:tcBorders>
            <w:hideMark/>
          </w:tcPr>
          <w:p w14:paraId="1DB12173" w14:textId="77777777" w:rsidR="00106428" w:rsidRPr="00106428" w:rsidRDefault="00106428">
            <w:pPr>
              <w:pStyle w:val="a5"/>
              <w:spacing w:line="360" w:lineRule="auto"/>
              <w:ind w:left="0"/>
              <w:jc w:val="both"/>
              <w:rPr>
                <w:sz w:val="28"/>
                <w:lang w:eastAsia="en-US"/>
              </w:rPr>
            </w:pPr>
            <w:r w:rsidRPr="00106428">
              <w:rPr>
                <w:sz w:val="28"/>
                <w:lang w:eastAsia="en-US"/>
              </w:rPr>
              <w:t>Рейтинг</w:t>
            </w:r>
          </w:p>
        </w:tc>
        <w:tc>
          <w:tcPr>
            <w:tcW w:w="4961" w:type="dxa"/>
            <w:tcBorders>
              <w:top w:val="single" w:sz="4" w:space="0" w:color="auto"/>
              <w:left w:val="single" w:sz="4" w:space="0" w:color="auto"/>
              <w:bottom w:val="single" w:sz="4" w:space="0" w:color="auto"/>
              <w:right w:val="single" w:sz="4" w:space="0" w:color="auto"/>
            </w:tcBorders>
            <w:hideMark/>
          </w:tcPr>
          <w:p w14:paraId="2F5CE98F" w14:textId="77777777" w:rsidR="00106428" w:rsidRPr="00106428" w:rsidRDefault="00106428">
            <w:pPr>
              <w:pStyle w:val="a5"/>
              <w:spacing w:line="360" w:lineRule="auto"/>
              <w:ind w:left="0"/>
              <w:jc w:val="both"/>
              <w:rPr>
                <w:sz w:val="28"/>
                <w:lang w:eastAsia="en-US"/>
              </w:rPr>
            </w:pPr>
            <w:r w:rsidRPr="00106428">
              <w:rPr>
                <w:sz w:val="28"/>
                <w:lang w:eastAsia="en-US"/>
              </w:rPr>
              <w:t>Демидова С.Е и Ибрагимова Р.И</w:t>
            </w:r>
          </w:p>
        </w:tc>
      </w:tr>
      <w:tr w:rsidR="00106428" w:rsidRPr="00106428" w14:paraId="5AAF008C" w14:textId="77777777" w:rsidTr="00106428">
        <w:tc>
          <w:tcPr>
            <w:tcW w:w="4106" w:type="dxa"/>
            <w:tcBorders>
              <w:top w:val="single" w:sz="4" w:space="0" w:color="auto"/>
              <w:left w:val="single" w:sz="4" w:space="0" w:color="auto"/>
              <w:bottom w:val="single" w:sz="4" w:space="0" w:color="auto"/>
              <w:right w:val="single" w:sz="4" w:space="0" w:color="auto"/>
            </w:tcBorders>
          </w:tcPr>
          <w:p w14:paraId="27CE24D9" w14:textId="77777777" w:rsidR="00106428" w:rsidRPr="00106428" w:rsidRDefault="00106428">
            <w:pPr>
              <w:rPr>
                <w:rFonts w:ascii="Times New Roman" w:hAnsi="Times New Roman" w:cs="Times New Roman"/>
                <w:sz w:val="28"/>
              </w:rPr>
            </w:pPr>
            <w:r w:rsidRPr="00106428">
              <w:rPr>
                <w:rFonts w:ascii="Times New Roman" w:hAnsi="Times New Roman" w:cs="Times New Roman"/>
                <w:sz w:val="28"/>
              </w:rPr>
              <w:t>Количество застрахованных лиц</w:t>
            </w:r>
          </w:p>
          <w:p w14:paraId="2A685992" w14:textId="77777777" w:rsidR="00106428" w:rsidRPr="00106428" w:rsidRDefault="00106428">
            <w:pPr>
              <w:pStyle w:val="a5"/>
              <w:spacing w:line="360" w:lineRule="auto"/>
              <w:ind w:left="0"/>
              <w:jc w:val="both"/>
              <w:rPr>
                <w:sz w:val="28"/>
                <w:lang w:eastAsia="en-US"/>
              </w:rPr>
            </w:pPr>
          </w:p>
        </w:tc>
        <w:tc>
          <w:tcPr>
            <w:tcW w:w="4961" w:type="dxa"/>
            <w:tcBorders>
              <w:top w:val="single" w:sz="4" w:space="0" w:color="auto"/>
              <w:left w:val="single" w:sz="4" w:space="0" w:color="auto"/>
              <w:bottom w:val="single" w:sz="4" w:space="0" w:color="auto"/>
              <w:right w:val="single" w:sz="4" w:space="0" w:color="auto"/>
            </w:tcBorders>
            <w:hideMark/>
          </w:tcPr>
          <w:p w14:paraId="00410D7C" w14:textId="77777777" w:rsidR="00106428" w:rsidRPr="00106428" w:rsidRDefault="00106428">
            <w:pPr>
              <w:pStyle w:val="a5"/>
              <w:spacing w:line="360" w:lineRule="auto"/>
              <w:ind w:left="0"/>
              <w:jc w:val="both"/>
              <w:rPr>
                <w:sz w:val="28"/>
                <w:lang w:eastAsia="en-US"/>
              </w:rPr>
            </w:pPr>
            <w:r w:rsidRPr="00106428">
              <w:rPr>
                <w:sz w:val="28"/>
                <w:lang w:eastAsia="en-US"/>
              </w:rPr>
              <w:t xml:space="preserve">Мищенко О.А. и Леонидова Е.Г, </w:t>
            </w:r>
            <w:proofErr w:type="spellStart"/>
            <w:r w:rsidRPr="00106428">
              <w:rPr>
                <w:sz w:val="28"/>
                <w:lang w:eastAsia="en-US"/>
              </w:rPr>
              <w:t>Эзрох</w:t>
            </w:r>
            <w:proofErr w:type="spellEnd"/>
            <w:r w:rsidRPr="00106428">
              <w:rPr>
                <w:sz w:val="28"/>
                <w:lang w:eastAsia="en-US"/>
              </w:rPr>
              <w:t xml:space="preserve"> Ю.С.</w:t>
            </w:r>
          </w:p>
        </w:tc>
      </w:tr>
      <w:tr w:rsidR="00106428" w:rsidRPr="00106428" w14:paraId="7535F24E" w14:textId="77777777" w:rsidTr="00106428">
        <w:tc>
          <w:tcPr>
            <w:tcW w:w="4106" w:type="dxa"/>
            <w:tcBorders>
              <w:top w:val="single" w:sz="4" w:space="0" w:color="auto"/>
              <w:left w:val="single" w:sz="4" w:space="0" w:color="auto"/>
              <w:bottom w:val="single" w:sz="4" w:space="0" w:color="auto"/>
              <w:right w:val="single" w:sz="4" w:space="0" w:color="auto"/>
            </w:tcBorders>
          </w:tcPr>
          <w:p w14:paraId="06B4E50A" w14:textId="77777777" w:rsidR="00106428" w:rsidRPr="00106428" w:rsidRDefault="00106428">
            <w:pPr>
              <w:rPr>
                <w:rFonts w:ascii="Times New Roman" w:hAnsi="Times New Roman" w:cs="Times New Roman"/>
                <w:sz w:val="28"/>
              </w:rPr>
            </w:pPr>
            <w:r w:rsidRPr="00106428">
              <w:rPr>
                <w:rFonts w:ascii="Times New Roman" w:hAnsi="Times New Roman" w:cs="Times New Roman"/>
                <w:sz w:val="28"/>
              </w:rPr>
              <w:t>Номинальная доходность</w:t>
            </w:r>
          </w:p>
          <w:p w14:paraId="64C35AE4" w14:textId="77777777" w:rsidR="00106428" w:rsidRPr="00106428" w:rsidRDefault="00106428">
            <w:pPr>
              <w:pStyle w:val="a5"/>
              <w:spacing w:line="360" w:lineRule="auto"/>
              <w:ind w:left="0"/>
              <w:jc w:val="both"/>
              <w:rPr>
                <w:sz w:val="28"/>
                <w:lang w:eastAsia="en-US"/>
              </w:rPr>
            </w:pPr>
          </w:p>
        </w:tc>
        <w:tc>
          <w:tcPr>
            <w:tcW w:w="4961" w:type="dxa"/>
            <w:tcBorders>
              <w:top w:val="single" w:sz="4" w:space="0" w:color="auto"/>
              <w:left w:val="single" w:sz="4" w:space="0" w:color="auto"/>
              <w:bottom w:val="single" w:sz="4" w:space="0" w:color="auto"/>
              <w:right w:val="single" w:sz="4" w:space="0" w:color="auto"/>
            </w:tcBorders>
            <w:hideMark/>
          </w:tcPr>
          <w:p w14:paraId="3582C7C0" w14:textId="77777777" w:rsidR="00106428" w:rsidRPr="00106428" w:rsidRDefault="00106428">
            <w:pPr>
              <w:pStyle w:val="a5"/>
              <w:spacing w:line="360" w:lineRule="auto"/>
              <w:ind w:left="0"/>
              <w:jc w:val="both"/>
              <w:rPr>
                <w:sz w:val="28"/>
                <w:lang w:eastAsia="en-US"/>
              </w:rPr>
            </w:pPr>
            <w:r w:rsidRPr="00106428">
              <w:rPr>
                <w:sz w:val="28"/>
                <w:lang w:eastAsia="en-US"/>
              </w:rPr>
              <w:t>Демидова С.Е и Ибрагимова Р.И</w:t>
            </w:r>
          </w:p>
        </w:tc>
      </w:tr>
      <w:tr w:rsidR="00106428" w:rsidRPr="00106428" w14:paraId="01ACED4F" w14:textId="77777777" w:rsidTr="00106428">
        <w:tc>
          <w:tcPr>
            <w:tcW w:w="4106" w:type="dxa"/>
            <w:tcBorders>
              <w:top w:val="single" w:sz="4" w:space="0" w:color="auto"/>
              <w:left w:val="single" w:sz="4" w:space="0" w:color="auto"/>
              <w:bottom w:val="single" w:sz="4" w:space="0" w:color="auto"/>
              <w:right w:val="single" w:sz="4" w:space="0" w:color="auto"/>
            </w:tcBorders>
            <w:hideMark/>
          </w:tcPr>
          <w:p w14:paraId="319D8735" w14:textId="77777777" w:rsidR="00106428" w:rsidRPr="00106428" w:rsidRDefault="00106428">
            <w:pPr>
              <w:pStyle w:val="a5"/>
              <w:spacing w:line="360" w:lineRule="auto"/>
              <w:ind w:left="0"/>
              <w:jc w:val="both"/>
              <w:rPr>
                <w:sz w:val="28"/>
                <w:lang w:eastAsia="en-US"/>
              </w:rPr>
            </w:pPr>
            <w:r w:rsidRPr="00106428">
              <w:rPr>
                <w:sz w:val="28"/>
                <w:lang w:eastAsia="en-US"/>
              </w:rPr>
              <w:t>Реальная доходность</w:t>
            </w:r>
          </w:p>
        </w:tc>
        <w:tc>
          <w:tcPr>
            <w:tcW w:w="4961" w:type="dxa"/>
            <w:tcBorders>
              <w:top w:val="single" w:sz="4" w:space="0" w:color="auto"/>
              <w:left w:val="single" w:sz="4" w:space="0" w:color="auto"/>
              <w:bottom w:val="single" w:sz="4" w:space="0" w:color="auto"/>
              <w:right w:val="single" w:sz="4" w:space="0" w:color="auto"/>
            </w:tcBorders>
            <w:hideMark/>
          </w:tcPr>
          <w:p w14:paraId="0358D340" w14:textId="77777777" w:rsidR="00106428" w:rsidRPr="00106428" w:rsidRDefault="00106428">
            <w:pPr>
              <w:rPr>
                <w:rFonts w:ascii="Times New Roman" w:hAnsi="Times New Roman" w:cs="Times New Roman"/>
              </w:rPr>
            </w:pPr>
            <w:r w:rsidRPr="00106428">
              <w:rPr>
                <w:rFonts w:ascii="Times New Roman" w:hAnsi="Times New Roman" w:cs="Times New Roman"/>
                <w:sz w:val="28"/>
              </w:rPr>
              <w:t xml:space="preserve">Мищенко О.А. и Леонидова Е.Г, </w:t>
            </w:r>
            <w:proofErr w:type="spellStart"/>
            <w:r w:rsidRPr="00106428">
              <w:rPr>
                <w:rFonts w:ascii="Times New Roman" w:hAnsi="Times New Roman" w:cs="Times New Roman"/>
                <w:sz w:val="28"/>
              </w:rPr>
              <w:t>Эзрох</w:t>
            </w:r>
            <w:proofErr w:type="spellEnd"/>
            <w:r w:rsidRPr="00106428">
              <w:rPr>
                <w:rFonts w:ascii="Times New Roman" w:hAnsi="Times New Roman" w:cs="Times New Roman"/>
                <w:sz w:val="28"/>
              </w:rPr>
              <w:t xml:space="preserve"> Ю.С.</w:t>
            </w:r>
          </w:p>
        </w:tc>
      </w:tr>
      <w:tr w:rsidR="00106428" w:rsidRPr="00106428" w14:paraId="2D1EDF46" w14:textId="77777777" w:rsidTr="00106428">
        <w:tc>
          <w:tcPr>
            <w:tcW w:w="4106" w:type="dxa"/>
            <w:tcBorders>
              <w:top w:val="single" w:sz="4" w:space="0" w:color="auto"/>
              <w:left w:val="single" w:sz="4" w:space="0" w:color="auto"/>
              <w:bottom w:val="single" w:sz="4" w:space="0" w:color="auto"/>
              <w:right w:val="single" w:sz="4" w:space="0" w:color="auto"/>
            </w:tcBorders>
            <w:hideMark/>
          </w:tcPr>
          <w:p w14:paraId="6218A5DF" w14:textId="77777777" w:rsidR="00106428" w:rsidRPr="00106428" w:rsidRDefault="00106428">
            <w:pPr>
              <w:pStyle w:val="a5"/>
              <w:spacing w:line="360" w:lineRule="auto"/>
              <w:ind w:left="0"/>
              <w:jc w:val="both"/>
              <w:rPr>
                <w:sz w:val="28"/>
                <w:lang w:eastAsia="en-US"/>
              </w:rPr>
            </w:pPr>
            <w:r w:rsidRPr="00106428">
              <w:rPr>
                <w:sz w:val="28"/>
                <w:lang w:eastAsia="en-US"/>
              </w:rPr>
              <w:t>Сравнение доходности НПФ и ПФР</w:t>
            </w:r>
          </w:p>
        </w:tc>
        <w:tc>
          <w:tcPr>
            <w:tcW w:w="4961" w:type="dxa"/>
            <w:tcBorders>
              <w:top w:val="single" w:sz="4" w:space="0" w:color="auto"/>
              <w:left w:val="single" w:sz="4" w:space="0" w:color="auto"/>
              <w:bottom w:val="single" w:sz="4" w:space="0" w:color="auto"/>
              <w:right w:val="single" w:sz="4" w:space="0" w:color="auto"/>
            </w:tcBorders>
            <w:hideMark/>
          </w:tcPr>
          <w:p w14:paraId="66A0425D" w14:textId="77777777" w:rsidR="00106428" w:rsidRPr="00106428" w:rsidRDefault="00106428">
            <w:pPr>
              <w:rPr>
                <w:rFonts w:ascii="Times New Roman" w:hAnsi="Times New Roman" w:cs="Times New Roman"/>
              </w:rPr>
            </w:pPr>
            <w:proofErr w:type="spellStart"/>
            <w:r w:rsidRPr="00106428">
              <w:rPr>
                <w:rFonts w:ascii="Times New Roman" w:hAnsi="Times New Roman" w:cs="Times New Roman"/>
                <w:sz w:val="28"/>
              </w:rPr>
              <w:t>Эзрох</w:t>
            </w:r>
            <w:proofErr w:type="spellEnd"/>
            <w:r w:rsidRPr="00106428">
              <w:rPr>
                <w:rFonts w:ascii="Times New Roman" w:hAnsi="Times New Roman" w:cs="Times New Roman"/>
                <w:sz w:val="28"/>
              </w:rPr>
              <w:t xml:space="preserve"> Ю.С.</w:t>
            </w:r>
          </w:p>
        </w:tc>
      </w:tr>
      <w:tr w:rsidR="00106428" w:rsidRPr="00106428" w14:paraId="3E7BA88C" w14:textId="77777777" w:rsidTr="00106428">
        <w:tc>
          <w:tcPr>
            <w:tcW w:w="4106" w:type="dxa"/>
            <w:tcBorders>
              <w:top w:val="single" w:sz="4" w:space="0" w:color="auto"/>
              <w:left w:val="single" w:sz="4" w:space="0" w:color="auto"/>
              <w:bottom w:val="single" w:sz="4" w:space="0" w:color="auto"/>
              <w:right w:val="single" w:sz="4" w:space="0" w:color="auto"/>
            </w:tcBorders>
            <w:hideMark/>
          </w:tcPr>
          <w:p w14:paraId="14685314" w14:textId="77777777" w:rsidR="00106428" w:rsidRPr="00106428" w:rsidRDefault="00106428">
            <w:pPr>
              <w:pStyle w:val="a5"/>
              <w:spacing w:line="360" w:lineRule="auto"/>
              <w:ind w:left="0"/>
              <w:jc w:val="both"/>
              <w:rPr>
                <w:sz w:val="28"/>
                <w:lang w:eastAsia="en-US"/>
              </w:rPr>
            </w:pPr>
            <w:r w:rsidRPr="00106428">
              <w:rPr>
                <w:sz w:val="28"/>
                <w:lang w:eastAsia="en-US"/>
              </w:rPr>
              <w:t>Собственное имущество</w:t>
            </w:r>
          </w:p>
        </w:tc>
        <w:tc>
          <w:tcPr>
            <w:tcW w:w="4961" w:type="dxa"/>
            <w:tcBorders>
              <w:top w:val="single" w:sz="4" w:space="0" w:color="auto"/>
              <w:left w:val="single" w:sz="4" w:space="0" w:color="auto"/>
              <w:bottom w:val="single" w:sz="4" w:space="0" w:color="auto"/>
              <w:right w:val="single" w:sz="4" w:space="0" w:color="auto"/>
            </w:tcBorders>
            <w:hideMark/>
          </w:tcPr>
          <w:p w14:paraId="0147E728" w14:textId="77777777" w:rsidR="00106428" w:rsidRPr="00106428" w:rsidRDefault="00106428">
            <w:pPr>
              <w:rPr>
                <w:rFonts w:ascii="Times New Roman" w:hAnsi="Times New Roman" w:cs="Times New Roman"/>
              </w:rPr>
            </w:pPr>
            <w:r w:rsidRPr="00106428">
              <w:rPr>
                <w:rFonts w:ascii="Times New Roman" w:hAnsi="Times New Roman" w:cs="Times New Roman"/>
                <w:sz w:val="28"/>
              </w:rPr>
              <w:t xml:space="preserve">Мищенко О.А. и Леонидова Е.Г, </w:t>
            </w:r>
            <w:proofErr w:type="spellStart"/>
            <w:r w:rsidRPr="00106428">
              <w:rPr>
                <w:rFonts w:ascii="Times New Roman" w:hAnsi="Times New Roman" w:cs="Times New Roman"/>
                <w:sz w:val="28"/>
              </w:rPr>
              <w:t>Эзрох</w:t>
            </w:r>
            <w:proofErr w:type="spellEnd"/>
            <w:r w:rsidRPr="00106428">
              <w:rPr>
                <w:rFonts w:ascii="Times New Roman" w:hAnsi="Times New Roman" w:cs="Times New Roman"/>
                <w:sz w:val="28"/>
              </w:rPr>
              <w:t xml:space="preserve"> Ю.С.</w:t>
            </w:r>
          </w:p>
        </w:tc>
      </w:tr>
      <w:tr w:rsidR="00106428" w:rsidRPr="00106428" w14:paraId="1F86E815" w14:textId="77777777" w:rsidTr="00106428">
        <w:tc>
          <w:tcPr>
            <w:tcW w:w="4106" w:type="dxa"/>
            <w:tcBorders>
              <w:top w:val="single" w:sz="4" w:space="0" w:color="auto"/>
              <w:left w:val="single" w:sz="4" w:space="0" w:color="auto"/>
              <w:bottom w:val="single" w:sz="4" w:space="0" w:color="auto"/>
              <w:right w:val="single" w:sz="4" w:space="0" w:color="auto"/>
            </w:tcBorders>
            <w:hideMark/>
          </w:tcPr>
          <w:p w14:paraId="28FDD37C" w14:textId="77777777" w:rsidR="00106428" w:rsidRPr="00106428" w:rsidRDefault="00106428">
            <w:pPr>
              <w:pStyle w:val="a5"/>
              <w:spacing w:line="360" w:lineRule="auto"/>
              <w:ind w:left="0"/>
              <w:jc w:val="both"/>
              <w:rPr>
                <w:sz w:val="28"/>
                <w:lang w:eastAsia="en-US"/>
              </w:rPr>
            </w:pPr>
            <w:r w:rsidRPr="00106428">
              <w:rPr>
                <w:sz w:val="28"/>
                <w:lang w:eastAsia="en-US"/>
              </w:rPr>
              <w:t>Сравнение накопленной доходности с инфляцией</w:t>
            </w:r>
          </w:p>
        </w:tc>
        <w:tc>
          <w:tcPr>
            <w:tcW w:w="4961" w:type="dxa"/>
            <w:tcBorders>
              <w:top w:val="single" w:sz="4" w:space="0" w:color="auto"/>
              <w:left w:val="single" w:sz="4" w:space="0" w:color="auto"/>
              <w:bottom w:val="single" w:sz="4" w:space="0" w:color="auto"/>
              <w:right w:val="single" w:sz="4" w:space="0" w:color="auto"/>
            </w:tcBorders>
            <w:hideMark/>
          </w:tcPr>
          <w:p w14:paraId="2CA70C12" w14:textId="77777777" w:rsidR="00106428" w:rsidRPr="00106428" w:rsidRDefault="00106428">
            <w:pPr>
              <w:rPr>
                <w:rFonts w:ascii="Times New Roman" w:hAnsi="Times New Roman" w:cs="Times New Roman"/>
              </w:rPr>
            </w:pPr>
            <w:r w:rsidRPr="00106428">
              <w:rPr>
                <w:rFonts w:ascii="Times New Roman" w:hAnsi="Times New Roman" w:cs="Times New Roman"/>
                <w:sz w:val="28"/>
              </w:rPr>
              <w:t xml:space="preserve">Мищенко О.А. и Леонидова Е.Г, </w:t>
            </w:r>
            <w:proofErr w:type="spellStart"/>
            <w:r w:rsidRPr="00106428">
              <w:rPr>
                <w:rFonts w:ascii="Times New Roman" w:hAnsi="Times New Roman" w:cs="Times New Roman"/>
                <w:sz w:val="28"/>
              </w:rPr>
              <w:t>Эзрох</w:t>
            </w:r>
            <w:proofErr w:type="spellEnd"/>
            <w:r w:rsidRPr="00106428">
              <w:rPr>
                <w:rFonts w:ascii="Times New Roman" w:hAnsi="Times New Roman" w:cs="Times New Roman"/>
                <w:sz w:val="28"/>
              </w:rPr>
              <w:t xml:space="preserve"> Ю.С.</w:t>
            </w:r>
          </w:p>
        </w:tc>
      </w:tr>
    </w:tbl>
    <w:p w14:paraId="1582236E" w14:textId="77777777" w:rsidR="00106428" w:rsidRPr="00106428" w:rsidRDefault="00106428" w:rsidP="00106428">
      <w:pPr>
        <w:pStyle w:val="a5"/>
        <w:spacing w:line="360" w:lineRule="auto"/>
        <w:ind w:left="0" w:firstLine="709"/>
        <w:jc w:val="both"/>
        <w:rPr>
          <w:sz w:val="28"/>
        </w:rPr>
      </w:pPr>
    </w:p>
    <w:p w14:paraId="3C95F679" w14:textId="77777777" w:rsidR="00106428" w:rsidRPr="00106428" w:rsidRDefault="00106428" w:rsidP="00106428">
      <w:pPr>
        <w:pStyle w:val="a5"/>
        <w:spacing w:line="360" w:lineRule="auto"/>
        <w:ind w:left="0" w:firstLine="709"/>
        <w:jc w:val="both"/>
        <w:rPr>
          <w:sz w:val="28"/>
        </w:rPr>
      </w:pPr>
      <w:r w:rsidRPr="00106428">
        <w:rPr>
          <w:sz w:val="28"/>
        </w:rPr>
        <w:t xml:space="preserve">Стоит отметить, что точка зрения Демидова С.Е и Ибрагимова Р.И является достаточно спорной. Во-первых, авторы не предлагают сравнивать накопленную доходность с накопленной инфляцией. Такое сравнение является необходимым, так как одной из основных целей вложения средств в </w:t>
      </w:r>
      <w:r w:rsidRPr="00106428">
        <w:rPr>
          <w:sz w:val="28"/>
        </w:rPr>
        <w:lastRenderedPageBreak/>
        <w:t xml:space="preserve">НПФ является защита накоплений от инфляции. Во-вторых, долгий срок жизни организации не свидетельствует о том, что она является надежной в данный период времени. </w:t>
      </w:r>
    </w:p>
    <w:p w14:paraId="601D4CAF" w14:textId="77777777" w:rsidR="00106428" w:rsidRPr="00106428" w:rsidRDefault="00106428" w:rsidP="00106428">
      <w:pPr>
        <w:pStyle w:val="a5"/>
        <w:spacing w:line="360" w:lineRule="auto"/>
        <w:ind w:left="0" w:firstLine="709"/>
        <w:jc w:val="both"/>
        <w:rPr>
          <w:sz w:val="28"/>
        </w:rPr>
      </w:pPr>
      <w:r w:rsidRPr="00106428">
        <w:rPr>
          <w:sz w:val="28"/>
        </w:rPr>
        <w:t>Подводя краткий итог, можно сказать, что при анализе эффективности НПФ важно сравнивать накопленную доходность не за один год, а за промежуток времени. Во-вторых, важно сравнить накопленную доходность с накопленной инфляцией. Накопленная доходность должна быть выше инфляции. В-третьих, важно сравнить этот показатель с доходностью ПФР. Если доходность НПФ ниже ПФР, то теряется смысл перехода на негосударственное пенсионное обеспечение. В-четвертых, важно оценить объем пенсионных накоплений и пенсионных резервов.</w:t>
      </w:r>
    </w:p>
    <w:p w14:paraId="5F13AF69" w14:textId="77777777" w:rsidR="00106428" w:rsidRPr="00106428" w:rsidRDefault="00106428" w:rsidP="00106428">
      <w:pPr>
        <w:pStyle w:val="a5"/>
        <w:spacing w:line="360" w:lineRule="auto"/>
        <w:ind w:left="0" w:firstLine="709"/>
        <w:jc w:val="both"/>
        <w:rPr>
          <w:sz w:val="28"/>
          <w:szCs w:val="28"/>
        </w:rPr>
      </w:pPr>
      <w:r w:rsidRPr="00106428">
        <w:rPr>
          <w:sz w:val="28"/>
          <w:szCs w:val="28"/>
        </w:rPr>
        <w:t>Далее стоит перейти к анализу научной литературы, посвященной методикам оценки эффективности деятельности НПФ. Этот вопрос вызывает большое количество дискуссий среди авторов, что связано с тем, что сегодня не существует единой официальной публичной методики оценки эффективности деятельности негосударственных пенсионных фондов.</w:t>
      </w:r>
    </w:p>
    <w:p w14:paraId="113D472F" w14:textId="77777777" w:rsidR="00106428" w:rsidRPr="00106428" w:rsidRDefault="00106428" w:rsidP="00106428">
      <w:pPr>
        <w:pStyle w:val="a5"/>
        <w:spacing w:line="360" w:lineRule="auto"/>
        <w:ind w:left="0" w:firstLine="709"/>
        <w:jc w:val="both"/>
        <w:rPr>
          <w:sz w:val="28"/>
          <w:szCs w:val="28"/>
        </w:rPr>
      </w:pPr>
      <w:r w:rsidRPr="00106428">
        <w:rPr>
          <w:sz w:val="28"/>
          <w:szCs w:val="28"/>
        </w:rPr>
        <w:t>Сравнительная характеристика различных методик оценки эффективности деятельности НПФ представлена в таблице 3.</w:t>
      </w:r>
    </w:p>
    <w:p w14:paraId="76E08919" w14:textId="77777777" w:rsidR="00106428" w:rsidRPr="00106428" w:rsidRDefault="00106428" w:rsidP="00106428">
      <w:pPr>
        <w:pStyle w:val="a5"/>
        <w:spacing w:line="360" w:lineRule="auto"/>
        <w:ind w:left="0"/>
        <w:jc w:val="both"/>
        <w:rPr>
          <w:sz w:val="28"/>
        </w:rPr>
      </w:pPr>
      <w:r w:rsidRPr="00106428">
        <w:rPr>
          <w:sz w:val="28"/>
        </w:rPr>
        <w:t>Таблица 3 - Сравнительная характеристика подходов к оценке эффективности деятельности НПФ.</w:t>
      </w:r>
    </w:p>
    <w:tbl>
      <w:tblPr>
        <w:tblStyle w:val="a7"/>
        <w:tblW w:w="0" w:type="auto"/>
        <w:tblInd w:w="0" w:type="dxa"/>
        <w:tblLook w:val="04A0" w:firstRow="1" w:lastRow="0" w:firstColumn="1" w:lastColumn="0" w:noHBand="0" w:noVBand="1"/>
      </w:tblPr>
      <w:tblGrid>
        <w:gridCol w:w="4672"/>
        <w:gridCol w:w="4673"/>
      </w:tblGrid>
      <w:tr w:rsidR="00106428" w:rsidRPr="00106428" w14:paraId="7B733222" w14:textId="77777777" w:rsidTr="00106428">
        <w:tc>
          <w:tcPr>
            <w:tcW w:w="4672" w:type="dxa"/>
            <w:tcBorders>
              <w:top w:val="single" w:sz="4" w:space="0" w:color="auto"/>
              <w:left w:val="single" w:sz="4" w:space="0" w:color="auto"/>
              <w:bottom w:val="single" w:sz="4" w:space="0" w:color="auto"/>
              <w:right w:val="single" w:sz="4" w:space="0" w:color="auto"/>
            </w:tcBorders>
            <w:hideMark/>
          </w:tcPr>
          <w:p w14:paraId="1EF878AC" w14:textId="77777777" w:rsidR="00106428" w:rsidRPr="00106428" w:rsidRDefault="00106428">
            <w:pPr>
              <w:pStyle w:val="a5"/>
              <w:spacing w:line="360" w:lineRule="auto"/>
              <w:ind w:left="0"/>
              <w:jc w:val="both"/>
              <w:rPr>
                <w:sz w:val="28"/>
                <w:lang w:eastAsia="en-US"/>
              </w:rPr>
            </w:pPr>
            <w:r w:rsidRPr="00106428">
              <w:rPr>
                <w:sz w:val="28"/>
                <w:lang w:eastAsia="en-US"/>
              </w:rPr>
              <w:t>Автор</w:t>
            </w:r>
          </w:p>
        </w:tc>
        <w:tc>
          <w:tcPr>
            <w:tcW w:w="4673" w:type="dxa"/>
            <w:tcBorders>
              <w:top w:val="single" w:sz="4" w:space="0" w:color="auto"/>
              <w:left w:val="single" w:sz="4" w:space="0" w:color="auto"/>
              <w:bottom w:val="single" w:sz="4" w:space="0" w:color="auto"/>
              <w:right w:val="single" w:sz="4" w:space="0" w:color="auto"/>
            </w:tcBorders>
            <w:hideMark/>
          </w:tcPr>
          <w:p w14:paraId="3D3A2A3D" w14:textId="77777777" w:rsidR="00106428" w:rsidRPr="00106428" w:rsidRDefault="00106428">
            <w:pPr>
              <w:pStyle w:val="a5"/>
              <w:spacing w:line="360" w:lineRule="auto"/>
              <w:ind w:left="0"/>
              <w:jc w:val="both"/>
              <w:rPr>
                <w:sz w:val="28"/>
                <w:lang w:eastAsia="en-US"/>
              </w:rPr>
            </w:pPr>
            <w:r w:rsidRPr="00106428">
              <w:rPr>
                <w:sz w:val="28"/>
                <w:lang w:eastAsia="en-US"/>
              </w:rPr>
              <w:t>Показатель</w:t>
            </w:r>
          </w:p>
        </w:tc>
      </w:tr>
      <w:tr w:rsidR="00106428" w:rsidRPr="00106428" w14:paraId="274A65F6" w14:textId="77777777" w:rsidTr="00106428">
        <w:tc>
          <w:tcPr>
            <w:tcW w:w="4672" w:type="dxa"/>
            <w:tcBorders>
              <w:top w:val="single" w:sz="4" w:space="0" w:color="auto"/>
              <w:left w:val="single" w:sz="4" w:space="0" w:color="auto"/>
              <w:bottom w:val="single" w:sz="4" w:space="0" w:color="auto"/>
              <w:right w:val="single" w:sz="4" w:space="0" w:color="auto"/>
            </w:tcBorders>
            <w:hideMark/>
          </w:tcPr>
          <w:p w14:paraId="0D57499A" w14:textId="77777777" w:rsidR="00106428" w:rsidRPr="00106428" w:rsidRDefault="00106428">
            <w:pPr>
              <w:pStyle w:val="a5"/>
              <w:spacing w:line="360" w:lineRule="auto"/>
              <w:ind w:left="0"/>
              <w:jc w:val="both"/>
              <w:rPr>
                <w:sz w:val="28"/>
                <w:lang w:eastAsia="en-US"/>
              </w:rPr>
            </w:pPr>
            <w:r w:rsidRPr="00106428">
              <w:rPr>
                <w:sz w:val="28"/>
                <w:lang w:eastAsia="en-US"/>
              </w:rPr>
              <w:t>Ногин Ю.Б</w:t>
            </w:r>
          </w:p>
        </w:tc>
        <w:tc>
          <w:tcPr>
            <w:tcW w:w="4673" w:type="dxa"/>
            <w:tcBorders>
              <w:top w:val="single" w:sz="4" w:space="0" w:color="auto"/>
              <w:left w:val="single" w:sz="4" w:space="0" w:color="auto"/>
              <w:bottom w:val="single" w:sz="4" w:space="0" w:color="auto"/>
              <w:right w:val="single" w:sz="4" w:space="0" w:color="auto"/>
            </w:tcBorders>
            <w:hideMark/>
          </w:tcPr>
          <w:p w14:paraId="68AF472D" w14:textId="77777777" w:rsidR="00106428" w:rsidRPr="00106428" w:rsidRDefault="00106428">
            <w:pPr>
              <w:pStyle w:val="a5"/>
              <w:spacing w:line="360" w:lineRule="auto"/>
              <w:ind w:left="0"/>
              <w:jc w:val="both"/>
              <w:rPr>
                <w:sz w:val="28"/>
                <w:lang w:eastAsia="en-US"/>
              </w:rPr>
            </w:pPr>
            <w:r w:rsidRPr="00106428">
              <w:rPr>
                <w:sz w:val="28"/>
                <w:lang w:eastAsia="en-US"/>
              </w:rPr>
              <w:t>Коэффициент Шарпа</w:t>
            </w:r>
          </w:p>
        </w:tc>
      </w:tr>
      <w:tr w:rsidR="00106428" w:rsidRPr="00106428" w14:paraId="32B64331" w14:textId="77777777" w:rsidTr="00106428">
        <w:tc>
          <w:tcPr>
            <w:tcW w:w="4672" w:type="dxa"/>
            <w:tcBorders>
              <w:top w:val="single" w:sz="4" w:space="0" w:color="auto"/>
              <w:left w:val="single" w:sz="4" w:space="0" w:color="auto"/>
              <w:bottom w:val="single" w:sz="4" w:space="0" w:color="auto"/>
              <w:right w:val="single" w:sz="4" w:space="0" w:color="auto"/>
            </w:tcBorders>
            <w:hideMark/>
          </w:tcPr>
          <w:p w14:paraId="6C365552" w14:textId="77777777" w:rsidR="00106428" w:rsidRPr="00106428" w:rsidRDefault="00106428">
            <w:pPr>
              <w:pStyle w:val="a5"/>
              <w:spacing w:line="360" w:lineRule="auto"/>
              <w:ind w:left="0"/>
              <w:jc w:val="both"/>
              <w:rPr>
                <w:sz w:val="28"/>
                <w:lang w:eastAsia="en-US"/>
              </w:rPr>
            </w:pPr>
            <w:r w:rsidRPr="00106428">
              <w:rPr>
                <w:sz w:val="28"/>
                <w:lang w:eastAsia="en-US"/>
              </w:rPr>
              <w:t>Ногин Ю.Б</w:t>
            </w:r>
          </w:p>
        </w:tc>
        <w:tc>
          <w:tcPr>
            <w:tcW w:w="4673" w:type="dxa"/>
            <w:tcBorders>
              <w:top w:val="single" w:sz="4" w:space="0" w:color="auto"/>
              <w:left w:val="single" w:sz="4" w:space="0" w:color="auto"/>
              <w:bottom w:val="single" w:sz="4" w:space="0" w:color="auto"/>
              <w:right w:val="single" w:sz="4" w:space="0" w:color="auto"/>
            </w:tcBorders>
            <w:hideMark/>
          </w:tcPr>
          <w:p w14:paraId="7B742B83" w14:textId="77777777" w:rsidR="00106428" w:rsidRPr="00106428" w:rsidRDefault="00106428">
            <w:pPr>
              <w:pStyle w:val="a5"/>
              <w:spacing w:line="360" w:lineRule="auto"/>
              <w:ind w:left="0"/>
              <w:jc w:val="both"/>
              <w:rPr>
                <w:sz w:val="28"/>
                <w:lang w:eastAsia="en-US"/>
              </w:rPr>
            </w:pPr>
            <w:r w:rsidRPr="00106428">
              <w:rPr>
                <w:sz w:val="28"/>
                <w:lang w:eastAsia="en-US"/>
              </w:rPr>
              <w:t>Коэффициент альфа Дженсена</w:t>
            </w:r>
          </w:p>
        </w:tc>
      </w:tr>
      <w:tr w:rsidR="00106428" w:rsidRPr="00106428" w14:paraId="797C87F1" w14:textId="77777777" w:rsidTr="00106428">
        <w:tc>
          <w:tcPr>
            <w:tcW w:w="4672" w:type="dxa"/>
            <w:tcBorders>
              <w:top w:val="single" w:sz="4" w:space="0" w:color="auto"/>
              <w:left w:val="single" w:sz="4" w:space="0" w:color="auto"/>
              <w:bottom w:val="single" w:sz="4" w:space="0" w:color="auto"/>
              <w:right w:val="single" w:sz="4" w:space="0" w:color="auto"/>
            </w:tcBorders>
            <w:hideMark/>
          </w:tcPr>
          <w:p w14:paraId="153C795B" w14:textId="77777777" w:rsidR="00106428" w:rsidRPr="00106428" w:rsidRDefault="00106428">
            <w:pPr>
              <w:rPr>
                <w:rFonts w:ascii="Times New Roman" w:hAnsi="Times New Roman" w:cs="Times New Roman"/>
              </w:rPr>
            </w:pPr>
            <w:r w:rsidRPr="00106428">
              <w:rPr>
                <w:rFonts w:ascii="Times New Roman" w:hAnsi="Times New Roman" w:cs="Times New Roman"/>
                <w:sz w:val="28"/>
              </w:rPr>
              <w:t>Юрьева И.А. и Масюк Н.Н</w:t>
            </w:r>
          </w:p>
        </w:tc>
        <w:tc>
          <w:tcPr>
            <w:tcW w:w="4673" w:type="dxa"/>
            <w:tcBorders>
              <w:top w:val="single" w:sz="4" w:space="0" w:color="auto"/>
              <w:left w:val="single" w:sz="4" w:space="0" w:color="auto"/>
              <w:bottom w:val="single" w:sz="4" w:space="0" w:color="auto"/>
              <w:right w:val="single" w:sz="4" w:space="0" w:color="auto"/>
            </w:tcBorders>
            <w:hideMark/>
          </w:tcPr>
          <w:p w14:paraId="4C0867A2" w14:textId="77777777" w:rsidR="00106428" w:rsidRPr="00106428" w:rsidRDefault="00106428">
            <w:pPr>
              <w:pStyle w:val="a5"/>
              <w:spacing w:line="360" w:lineRule="auto"/>
              <w:ind w:left="0"/>
              <w:jc w:val="both"/>
              <w:rPr>
                <w:sz w:val="28"/>
                <w:lang w:eastAsia="en-US"/>
              </w:rPr>
            </w:pPr>
            <w:r w:rsidRPr="00106428">
              <w:rPr>
                <w:sz w:val="28"/>
                <w:szCs w:val="28"/>
                <w:lang w:eastAsia="en-US"/>
              </w:rPr>
              <w:t>Коэффициент социальной рентабельности</w:t>
            </w:r>
          </w:p>
        </w:tc>
      </w:tr>
      <w:tr w:rsidR="00106428" w:rsidRPr="00106428" w14:paraId="4CB993EB" w14:textId="77777777" w:rsidTr="00106428">
        <w:tc>
          <w:tcPr>
            <w:tcW w:w="4672" w:type="dxa"/>
            <w:tcBorders>
              <w:top w:val="single" w:sz="4" w:space="0" w:color="auto"/>
              <w:left w:val="single" w:sz="4" w:space="0" w:color="auto"/>
              <w:bottom w:val="single" w:sz="4" w:space="0" w:color="auto"/>
              <w:right w:val="single" w:sz="4" w:space="0" w:color="auto"/>
            </w:tcBorders>
            <w:hideMark/>
          </w:tcPr>
          <w:p w14:paraId="39781D71" w14:textId="77777777" w:rsidR="00106428" w:rsidRPr="00106428" w:rsidRDefault="00106428">
            <w:pPr>
              <w:rPr>
                <w:rFonts w:ascii="Times New Roman" w:hAnsi="Times New Roman" w:cs="Times New Roman"/>
              </w:rPr>
            </w:pPr>
            <w:r w:rsidRPr="00106428">
              <w:rPr>
                <w:rFonts w:ascii="Times New Roman" w:hAnsi="Times New Roman" w:cs="Times New Roman"/>
                <w:sz w:val="28"/>
              </w:rPr>
              <w:t>Юрьева И.А. и Масюк Н.Н</w:t>
            </w:r>
          </w:p>
        </w:tc>
        <w:tc>
          <w:tcPr>
            <w:tcW w:w="4673" w:type="dxa"/>
            <w:tcBorders>
              <w:top w:val="single" w:sz="4" w:space="0" w:color="auto"/>
              <w:left w:val="single" w:sz="4" w:space="0" w:color="auto"/>
              <w:bottom w:val="single" w:sz="4" w:space="0" w:color="auto"/>
              <w:right w:val="single" w:sz="4" w:space="0" w:color="auto"/>
            </w:tcBorders>
            <w:hideMark/>
          </w:tcPr>
          <w:p w14:paraId="500E3950" w14:textId="77777777" w:rsidR="00106428" w:rsidRPr="00106428" w:rsidRDefault="00106428">
            <w:pPr>
              <w:pStyle w:val="a5"/>
              <w:spacing w:line="360" w:lineRule="auto"/>
              <w:ind w:left="0"/>
              <w:jc w:val="both"/>
              <w:rPr>
                <w:sz w:val="28"/>
                <w:lang w:eastAsia="en-US"/>
              </w:rPr>
            </w:pPr>
            <w:r w:rsidRPr="00106428">
              <w:rPr>
                <w:sz w:val="28"/>
                <w:szCs w:val="28"/>
                <w:lang w:eastAsia="en-US"/>
              </w:rPr>
              <w:t>Коэффициент общей рентабельности.</w:t>
            </w:r>
          </w:p>
        </w:tc>
      </w:tr>
      <w:tr w:rsidR="00106428" w:rsidRPr="00106428" w14:paraId="4F63F4CF" w14:textId="77777777" w:rsidTr="00106428">
        <w:tc>
          <w:tcPr>
            <w:tcW w:w="4672" w:type="dxa"/>
            <w:tcBorders>
              <w:top w:val="single" w:sz="4" w:space="0" w:color="auto"/>
              <w:left w:val="single" w:sz="4" w:space="0" w:color="auto"/>
              <w:bottom w:val="single" w:sz="4" w:space="0" w:color="auto"/>
              <w:right w:val="single" w:sz="4" w:space="0" w:color="auto"/>
            </w:tcBorders>
            <w:hideMark/>
          </w:tcPr>
          <w:p w14:paraId="066C80C1" w14:textId="77777777" w:rsidR="00106428" w:rsidRPr="00106428" w:rsidRDefault="00106428">
            <w:pPr>
              <w:rPr>
                <w:rFonts w:ascii="Times New Roman" w:hAnsi="Times New Roman" w:cs="Times New Roman"/>
              </w:rPr>
            </w:pPr>
            <w:r w:rsidRPr="00106428">
              <w:rPr>
                <w:rFonts w:ascii="Times New Roman" w:hAnsi="Times New Roman" w:cs="Times New Roman"/>
                <w:sz w:val="28"/>
              </w:rPr>
              <w:t>Юрьева И.А. и Масюк Н.Н</w:t>
            </w:r>
          </w:p>
        </w:tc>
        <w:tc>
          <w:tcPr>
            <w:tcW w:w="4673" w:type="dxa"/>
            <w:tcBorders>
              <w:top w:val="single" w:sz="4" w:space="0" w:color="auto"/>
              <w:left w:val="single" w:sz="4" w:space="0" w:color="auto"/>
              <w:bottom w:val="single" w:sz="4" w:space="0" w:color="auto"/>
              <w:right w:val="single" w:sz="4" w:space="0" w:color="auto"/>
            </w:tcBorders>
            <w:hideMark/>
          </w:tcPr>
          <w:p w14:paraId="0B94328D" w14:textId="77777777" w:rsidR="00106428" w:rsidRPr="00106428" w:rsidRDefault="00106428">
            <w:pPr>
              <w:pStyle w:val="a5"/>
              <w:spacing w:line="360" w:lineRule="auto"/>
              <w:ind w:left="0"/>
              <w:jc w:val="both"/>
              <w:rPr>
                <w:sz w:val="28"/>
                <w:lang w:eastAsia="en-US"/>
              </w:rPr>
            </w:pPr>
            <w:r w:rsidRPr="00106428">
              <w:rPr>
                <w:sz w:val="28"/>
                <w:lang w:eastAsia="en-US"/>
              </w:rPr>
              <w:t>Оценка выполнения требований, предъявляемых ЦБ РФ</w:t>
            </w:r>
          </w:p>
        </w:tc>
      </w:tr>
    </w:tbl>
    <w:p w14:paraId="48B37BC5" w14:textId="77777777" w:rsidR="00106428" w:rsidRPr="00106428" w:rsidRDefault="00106428" w:rsidP="00106428">
      <w:pPr>
        <w:pStyle w:val="a5"/>
        <w:spacing w:line="360" w:lineRule="auto"/>
        <w:ind w:left="0" w:firstLine="709"/>
        <w:jc w:val="both"/>
        <w:rPr>
          <w:sz w:val="28"/>
        </w:rPr>
      </w:pPr>
      <w:r w:rsidRPr="00106428">
        <w:rPr>
          <w:sz w:val="28"/>
        </w:rPr>
        <w:t xml:space="preserve">Ногин Ю.Б. в своей научной статье предлагает следующие </w:t>
      </w:r>
      <w:r w:rsidRPr="00106428">
        <w:rPr>
          <w:sz w:val="28"/>
        </w:rPr>
        <w:lastRenderedPageBreak/>
        <w:t>коэффициенты для анализа эффективности управления средствами пенсионных накоплений</w:t>
      </w:r>
      <w:r w:rsidRPr="00106428">
        <w:rPr>
          <w:rStyle w:val="a6"/>
          <w:sz w:val="28"/>
        </w:rPr>
        <w:footnoteReference w:id="11"/>
      </w:r>
      <w:r w:rsidRPr="00106428">
        <w:rPr>
          <w:sz w:val="28"/>
        </w:rPr>
        <w:t>.</w:t>
      </w:r>
    </w:p>
    <w:p w14:paraId="28A014DA" w14:textId="77777777" w:rsidR="00106428" w:rsidRPr="00106428" w:rsidRDefault="00106428" w:rsidP="00106428">
      <w:pPr>
        <w:pStyle w:val="a5"/>
        <w:spacing w:line="360" w:lineRule="auto"/>
        <w:ind w:left="0" w:firstLine="709"/>
        <w:jc w:val="both"/>
        <w:rPr>
          <w:sz w:val="28"/>
        </w:rPr>
      </w:pPr>
      <w:r w:rsidRPr="00106428">
        <w:rPr>
          <w:sz w:val="28"/>
        </w:rPr>
        <w:t>- Коэффициент Шарпа. Данный коэффициент позволяет дать ответ, насколько успешной была принятая инвестиционная стратегия НПФ (обогнала ли она среднюю рыночную доходность). Он показывает отношение средней премии за риск к стандартному отклонению доходности пенсионных средств. При расчете коэффициента используются моментальные величины, а сам коэффициент является относительным. Если коэффициент больше средней доходности по рынку, то инвестиционная стратегия была успешной.</w:t>
      </w:r>
    </w:p>
    <w:p w14:paraId="204CB255" w14:textId="77777777" w:rsidR="00106428" w:rsidRPr="00106428" w:rsidRDefault="00106428" w:rsidP="00106428">
      <w:pPr>
        <w:pStyle w:val="a5"/>
        <w:spacing w:line="360" w:lineRule="auto"/>
        <w:ind w:left="0" w:firstLine="709"/>
        <w:jc w:val="both"/>
        <w:rPr>
          <w:sz w:val="28"/>
        </w:rPr>
      </w:pPr>
      <w:r w:rsidRPr="00106428">
        <w:rPr>
          <w:sz w:val="28"/>
        </w:rPr>
        <w:t>- Коэффициент альфа Дженсена – разница между фактической и расчетной (математически оптимальной) доходностью пенсионных средств НПФ. При расчете коэффициента используются моментальные величины, а сам коэффициент является абсолютным.  Коэффициент позволяет дать ответ, насколько эффективно была реализована принятая инвестиционная стратегия НПФ.</w:t>
      </w:r>
    </w:p>
    <w:p w14:paraId="39623721" w14:textId="77777777" w:rsidR="00106428" w:rsidRPr="00106428" w:rsidRDefault="00106428" w:rsidP="00106428">
      <w:pPr>
        <w:spacing w:line="360" w:lineRule="auto"/>
        <w:ind w:firstLine="709"/>
        <w:jc w:val="both"/>
        <w:rPr>
          <w:rFonts w:ascii="Times New Roman" w:hAnsi="Times New Roman" w:cs="Times New Roman"/>
          <w:sz w:val="28"/>
        </w:rPr>
      </w:pPr>
      <w:r w:rsidRPr="00106428">
        <w:rPr>
          <w:rFonts w:ascii="Times New Roman" w:hAnsi="Times New Roman" w:cs="Times New Roman"/>
          <w:sz w:val="28"/>
        </w:rPr>
        <w:t>Сама доходность управления пенсионными средствами рассчитывалась по формуле эффективной доходности Фишера, учитывающей эффект капитализации. При расчете коэффициента используются интервальные величины, а сам коэффициент является абсолютным.</w:t>
      </w:r>
    </w:p>
    <w:p w14:paraId="07E9B513" w14:textId="77777777" w:rsidR="00106428" w:rsidRPr="00106428" w:rsidRDefault="00106428" w:rsidP="00106428">
      <w:pPr>
        <w:spacing w:line="360" w:lineRule="auto"/>
        <w:ind w:firstLine="709"/>
        <w:jc w:val="both"/>
        <w:rPr>
          <w:rFonts w:ascii="Times New Roman" w:hAnsi="Times New Roman" w:cs="Times New Roman"/>
          <w:sz w:val="28"/>
        </w:rPr>
      </w:pPr>
      <w:r w:rsidRPr="00106428">
        <w:rPr>
          <w:rFonts w:ascii="Times New Roman" w:hAnsi="Times New Roman" w:cs="Times New Roman"/>
          <w:sz w:val="28"/>
        </w:rPr>
        <w:t>В качестве безрисковой доходности автор предлагает использовать ставку бескупонной доходности на однолетние ОФЗ, которая рассчитывалась как средняя арифметическая всех ставок за каждый рабочий день в течении года исследования.</w:t>
      </w:r>
    </w:p>
    <w:p w14:paraId="2BD44357" w14:textId="77777777" w:rsidR="00106428" w:rsidRPr="00106428" w:rsidRDefault="00106428" w:rsidP="00106428">
      <w:pPr>
        <w:spacing w:after="0" w:line="360" w:lineRule="auto"/>
        <w:ind w:firstLine="709"/>
        <w:jc w:val="both"/>
        <w:rPr>
          <w:rFonts w:ascii="Times New Roman" w:hAnsi="Times New Roman" w:cs="Times New Roman"/>
          <w:sz w:val="28"/>
        </w:rPr>
      </w:pPr>
      <w:r w:rsidRPr="00106428">
        <w:rPr>
          <w:rFonts w:ascii="Times New Roman" w:hAnsi="Times New Roman" w:cs="Times New Roman"/>
          <w:sz w:val="28"/>
        </w:rPr>
        <w:t xml:space="preserve">Иную точку зрения на методику оценки деятельности НПФ выражают в своей монографии Юрьева И.А. и Масюк Н.Н. Авторы предлагают разделить процедуру оценки на две составляющие: экономическую и социальную. </w:t>
      </w:r>
      <w:r w:rsidRPr="00106428">
        <w:rPr>
          <w:rFonts w:ascii="Times New Roman" w:hAnsi="Times New Roman" w:cs="Times New Roman"/>
          <w:sz w:val="28"/>
        </w:rPr>
        <w:lastRenderedPageBreak/>
        <w:t>Экономическая составляющая основывается на оценки способности фонда исполнить обязательства по выплате уже назначенных негосударственных пенсий и оценки полученного фондом дохода от инвестиционной деятельности, социальная составляющая оценивает социальный результат от деятельности фонда.</w:t>
      </w:r>
    </w:p>
    <w:p w14:paraId="0928253E" w14:textId="77777777" w:rsidR="00106428" w:rsidRPr="00106428" w:rsidRDefault="00106428" w:rsidP="00106428">
      <w:pPr>
        <w:spacing w:after="0" w:line="360" w:lineRule="auto"/>
        <w:ind w:firstLine="709"/>
        <w:jc w:val="both"/>
        <w:rPr>
          <w:rFonts w:ascii="Times New Roman" w:hAnsi="Times New Roman" w:cs="Times New Roman"/>
          <w:sz w:val="28"/>
        </w:rPr>
      </w:pPr>
      <w:r w:rsidRPr="00106428">
        <w:rPr>
          <w:rFonts w:ascii="Times New Roman" w:hAnsi="Times New Roman" w:cs="Times New Roman"/>
          <w:sz w:val="28"/>
        </w:rPr>
        <w:t>Для того чтобы оценить социальный результат деятельности фонда, авторы предлагают использовать следующие коэффициенты:</w:t>
      </w:r>
    </w:p>
    <w:p w14:paraId="64297DAF" w14:textId="77777777" w:rsidR="00106428" w:rsidRPr="00106428" w:rsidRDefault="00106428" w:rsidP="00106428">
      <w:pPr>
        <w:spacing w:after="0" w:line="360" w:lineRule="auto"/>
        <w:ind w:firstLine="709"/>
        <w:jc w:val="both"/>
        <w:rPr>
          <w:rFonts w:ascii="Times New Roman" w:hAnsi="Times New Roman" w:cs="Times New Roman"/>
          <w:sz w:val="28"/>
        </w:rPr>
      </w:pPr>
      <w:r w:rsidRPr="00106428">
        <w:rPr>
          <w:rFonts w:ascii="Times New Roman" w:hAnsi="Times New Roman" w:cs="Times New Roman"/>
          <w:sz w:val="28"/>
          <w:szCs w:val="28"/>
        </w:rPr>
        <w:t xml:space="preserve">- Коэффициент социальной рентабельности. Рассчитывается как отношение денежной оценки социального эффекта к затратам на производство данного социального эффекта. </w:t>
      </w:r>
      <w:r w:rsidRPr="00106428">
        <w:rPr>
          <w:rFonts w:ascii="Times New Roman" w:hAnsi="Times New Roman" w:cs="Times New Roman"/>
          <w:sz w:val="28"/>
        </w:rPr>
        <w:t>Расходы на производство этого социального эффекта измеряются расходами на выплаты негосударственных пенсий и расходами на поддержание собственных средств Фонда на законодательно установленном минимальном уровне. При расчете коэффициента используются моментальные величины, а сам коэффициент является относительным.</w:t>
      </w:r>
    </w:p>
    <w:p w14:paraId="26C78B53" w14:textId="77777777" w:rsidR="00106428" w:rsidRPr="00106428" w:rsidRDefault="00106428" w:rsidP="00106428">
      <w:pPr>
        <w:spacing w:after="0" w:line="360" w:lineRule="auto"/>
        <w:ind w:firstLine="709"/>
        <w:jc w:val="both"/>
        <w:rPr>
          <w:rFonts w:ascii="Times New Roman" w:hAnsi="Times New Roman" w:cs="Times New Roman"/>
          <w:sz w:val="28"/>
          <w:szCs w:val="28"/>
        </w:rPr>
      </w:pPr>
      <w:r w:rsidRPr="00106428">
        <w:rPr>
          <w:rFonts w:ascii="Times New Roman" w:hAnsi="Times New Roman" w:cs="Times New Roman"/>
          <w:sz w:val="28"/>
          <w:szCs w:val="28"/>
        </w:rPr>
        <w:t xml:space="preserve">- Коэффициент общей рентабельности. Показатель общей рентабельности есть сумма экономической и социальной рентабельности, т.е. чистая прибыль от реализации проекта суммируется с денежной оценкой социального эффекта от деятельности НПФ и относится к затратам, связанным с ее выполнением. </w:t>
      </w:r>
    </w:p>
    <w:p w14:paraId="5038C671" w14:textId="77777777" w:rsidR="00106428" w:rsidRPr="00106428" w:rsidRDefault="00106428" w:rsidP="00106428">
      <w:pPr>
        <w:spacing w:after="0" w:line="360" w:lineRule="auto"/>
        <w:ind w:firstLine="709"/>
        <w:jc w:val="both"/>
        <w:rPr>
          <w:rFonts w:ascii="Times New Roman" w:hAnsi="Times New Roman" w:cs="Times New Roman"/>
          <w:sz w:val="28"/>
        </w:rPr>
      </w:pPr>
      <w:r w:rsidRPr="00106428">
        <w:rPr>
          <w:rFonts w:ascii="Times New Roman" w:hAnsi="Times New Roman" w:cs="Times New Roman"/>
          <w:sz w:val="28"/>
        </w:rPr>
        <w:t>Для оценки финансовой составляющей деятельности фонда предлагается использовать следующие показатели:</w:t>
      </w:r>
    </w:p>
    <w:p w14:paraId="2D21CE58" w14:textId="77777777" w:rsidR="00106428" w:rsidRPr="00106428" w:rsidRDefault="00106428" w:rsidP="00106428">
      <w:pPr>
        <w:spacing w:after="0" w:line="360" w:lineRule="auto"/>
        <w:ind w:firstLine="709"/>
        <w:jc w:val="both"/>
        <w:rPr>
          <w:rFonts w:ascii="Times New Roman" w:hAnsi="Times New Roman" w:cs="Times New Roman"/>
          <w:sz w:val="28"/>
        </w:rPr>
      </w:pPr>
      <w:r w:rsidRPr="00106428">
        <w:rPr>
          <w:rFonts w:ascii="Times New Roman" w:hAnsi="Times New Roman" w:cs="Times New Roman"/>
          <w:sz w:val="28"/>
        </w:rPr>
        <w:t>- Оценка выполнения требований, предъявляемых ЦБ РФ</w:t>
      </w:r>
    </w:p>
    <w:p w14:paraId="04F5D206" w14:textId="77777777" w:rsidR="00106428" w:rsidRPr="00106428" w:rsidRDefault="00106428" w:rsidP="00106428">
      <w:pPr>
        <w:spacing w:line="360" w:lineRule="auto"/>
        <w:ind w:firstLine="709"/>
        <w:jc w:val="both"/>
        <w:rPr>
          <w:rFonts w:ascii="Times New Roman" w:hAnsi="Times New Roman" w:cs="Times New Roman"/>
          <w:sz w:val="28"/>
        </w:rPr>
      </w:pPr>
      <w:r w:rsidRPr="00106428">
        <w:rPr>
          <w:rFonts w:ascii="Times New Roman" w:hAnsi="Times New Roman" w:cs="Times New Roman"/>
          <w:sz w:val="28"/>
          <w:szCs w:val="28"/>
        </w:rPr>
        <w:t xml:space="preserve">- Актуарное оценивание деятельности фонда для выявления наличия профицита и дефицита актуарного баланса. Отсутствие дефицита говорит о том, что фонд способен исполнить обязательства по негосударственному пенсионному обеспечению, а отсутствие профицита означает планомерное начисление дохода, полученного фондом на счета его вкладчиков. </w:t>
      </w:r>
    </w:p>
    <w:p w14:paraId="6586F1AA" w14:textId="77777777" w:rsidR="00106428" w:rsidRPr="00106428" w:rsidRDefault="00106428" w:rsidP="00106428">
      <w:pPr>
        <w:spacing w:after="0" w:line="360" w:lineRule="auto"/>
        <w:ind w:firstLine="709"/>
        <w:jc w:val="both"/>
        <w:rPr>
          <w:rFonts w:ascii="Times New Roman" w:hAnsi="Times New Roman" w:cs="Times New Roman"/>
          <w:sz w:val="28"/>
          <w:szCs w:val="28"/>
        </w:rPr>
      </w:pPr>
      <w:r w:rsidRPr="00106428">
        <w:rPr>
          <w:rFonts w:ascii="Times New Roman" w:hAnsi="Times New Roman" w:cs="Times New Roman"/>
          <w:sz w:val="28"/>
          <w:szCs w:val="28"/>
        </w:rPr>
        <w:t xml:space="preserve">На основании первичных документов НПФ определяются следующие показатели: П1 Современная стоимость пенсионных обязательств по схемам. </w:t>
      </w:r>
      <w:r w:rsidRPr="00106428">
        <w:rPr>
          <w:rFonts w:ascii="Times New Roman" w:hAnsi="Times New Roman" w:cs="Times New Roman"/>
          <w:sz w:val="28"/>
          <w:szCs w:val="28"/>
        </w:rPr>
        <w:lastRenderedPageBreak/>
        <w:t>П2 Расчетная величина страхового резерва. П3 Кредиторская задолженность. П4 Размер собственных средств (включая уставный капитал). А1 Средства пенсионного резерва. А2 Собственные средства.</w:t>
      </w:r>
    </w:p>
    <w:p w14:paraId="04F1FD86" w14:textId="77777777" w:rsidR="00106428" w:rsidRPr="00106428" w:rsidRDefault="00106428" w:rsidP="00106428">
      <w:pPr>
        <w:spacing w:after="0" w:line="360" w:lineRule="auto"/>
        <w:ind w:firstLine="709"/>
        <w:jc w:val="both"/>
        <w:rPr>
          <w:rFonts w:ascii="Times New Roman" w:hAnsi="Times New Roman" w:cs="Times New Roman"/>
          <w:sz w:val="28"/>
          <w:szCs w:val="28"/>
        </w:rPr>
      </w:pPr>
      <w:r w:rsidRPr="00106428">
        <w:rPr>
          <w:rFonts w:ascii="Times New Roman" w:hAnsi="Times New Roman" w:cs="Times New Roman"/>
          <w:sz w:val="28"/>
          <w:szCs w:val="28"/>
        </w:rPr>
        <w:t xml:space="preserve">Актуарный баланс Фонда считается выдержанным, если актуарная стоимость активов, в которых размещены пенсионные резервы, больше минимальной стоимости пенсионных обязательств Фонда. </w:t>
      </w:r>
    </w:p>
    <w:p w14:paraId="5297AD55" w14:textId="77777777" w:rsidR="00106428" w:rsidRPr="00106428" w:rsidRDefault="00106428" w:rsidP="00106428">
      <w:pPr>
        <w:spacing w:after="0" w:line="360" w:lineRule="auto"/>
        <w:ind w:firstLine="709"/>
        <w:jc w:val="both"/>
        <w:rPr>
          <w:rFonts w:ascii="Times New Roman" w:hAnsi="Times New Roman" w:cs="Times New Roman"/>
          <w:sz w:val="28"/>
          <w:szCs w:val="28"/>
        </w:rPr>
      </w:pPr>
      <w:r w:rsidRPr="00106428">
        <w:rPr>
          <w:rFonts w:ascii="Times New Roman" w:hAnsi="Times New Roman" w:cs="Times New Roman"/>
          <w:sz w:val="28"/>
          <w:szCs w:val="28"/>
        </w:rPr>
        <w:t xml:space="preserve">Если сочетание условий (П1+П2+П3+П4 &lt; A1+А2) не выполняется, то профицит не выявлен. </w:t>
      </w:r>
    </w:p>
    <w:p w14:paraId="1FE183CD" w14:textId="77777777" w:rsidR="00106428" w:rsidRPr="00106428" w:rsidRDefault="00106428" w:rsidP="00106428">
      <w:pPr>
        <w:spacing w:line="360" w:lineRule="auto"/>
        <w:ind w:firstLine="709"/>
        <w:jc w:val="both"/>
        <w:rPr>
          <w:rFonts w:ascii="Times New Roman" w:hAnsi="Times New Roman" w:cs="Times New Roman"/>
          <w:sz w:val="28"/>
          <w:szCs w:val="28"/>
        </w:rPr>
      </w:pPr>
      <w:r w:rsidRPr="00106428">
        <w:rPr>
          <w:rFonts w:ascii="Times New Roman" w:hAnsi="Times New Roman" w:cs="Times New Roman"/>
          <w:sz w:val="28"/>
          <w:szCs w:val="28"/>
        </w:rPr>
        <w:t>Если условие (П1+П3 &gt; A1+А2) не выполняется, то дефицит не выявлен.</w:t>
      </w:r>
    </w:p>
    <w:p w14:paraId="298A14DC" w14:textId="77777777" w:rsidR="00106428" w:rsidRPr="00106428" w:rsidRDefault="00106428" w:rsidP="00106428">
      <w:pPr>
        <w:spacing w:after="0" w:line="360" w:lineRule="auto"/>
        <w:ind w:firstLine="709"/>
        <w:jc w:val="both"/>
        <w:rPr>
          <w:rFonts w:ascii="Times New Roman" w:hAnsi="Times New Roman" w:cs="Times New Roman"/>
          <w:sz w:val="28"/>
          <w:szCs w:val="28"/>
        </w:rPr>
      </w:pPr>
      <w:r w:rsidRPr="00106428">
        <w:rPr>
          <w:rFonts w:ascii="Times New Roman" w:hAnsi="Times New Roman" w:cs="Times New Roman"/>
          <w:sz w:val="28"/>
          <w:szCs w:val="28"/>
        </w:rPr>
        <w:t>Недостатками методик, предложенными вышеуказанными авторами, являются сложность расчетов, отсутствие информации о некоторых показателях в открытом доступе.</w:t>
      </w:r>
    </w:p>
    <w:p w14:paraId="314EF70B" w14:textId="77777777" w:rsidR="00106428" w:rsidRPr="00106428" w:rsidRDefault="00106428" w:rsidP="00106428">
      <w:pPr>
        <w:spacing w:after="0" w:line="360" w:lineRule="auto"/>
        <w:ind w:firstLine="709"/>
        <w:jc w:val="both"/>
        <w:rPr>
          <w:rFonts w:ascii="Times New Roman" w:hAnsi="Times New Roman" w:cs="Times New Roman"/>
          <w:sz w:val="28"/>
          <w:szCs w:val="28"/>
        </w:rPr>
      </w:pPr>
      <w:r w:rsidRPr="00106428">
        <w:rPr>
          <w:rFonts w:ascii="Times New Roman" w:hAnsi="Times New Roman" w:cs="Times New Roman"/>
          <w:sz w:val="28"/>
          <w:szCs w:val="28"/>
        </w:rPr>
        <w:t>Методика Новикова А.В. лишена этих недостатков. Показатели, оценивающие эффективность деятельности НПФ, по мнению автора необходимо разделить на две группы: показатели, характеризующие управление располагаемыми ресурсами, и показатели, характеризующие оценку результатов приращения.</w:t>
      </w:r>
    </w:p>
    <w:p w14:paraId="3D682089" w14:textId="77777777" w:rsidR="00106428" w:rsidRPr="00106428" w:rsidRDefault="00106428" w:rsidP="00106428">
      <w:pPr>
        <w:pStyle w:val="a5"/>
        <w:widowControl/>
        <w:autoSpaceDE/>
        <w:spacing w:line="360" w:lineRule="auto"/>
        <w:ind w:left="0" w:firstLine="709"/>
        <w:jc w:val="both"/>
        <w:rPr>
          <w:sz w:val="28"/>
          <w:szCs w:val="28"/>
        </w:rPr>
      </w:pPr>
      <w:r w:rsidRPr="00106428">
        <w:rPr>
          <w:sz w:val="28"/>
          <w:szCs w:val="28"/>
        </w:rPr>
        <w:t>Показатели, характеризующие качество управления располагаемыми ресурсами выглядят следующим образом</w:t>
      </w:r>
    </w:p>
    <w:p w14:paraId="5EB502CE" w14:textId="77777777" w:rsidR="00106428" w:rsidRPr="00106428" w:rsidRDefault="00106428" w:rsidP="00106428">
      <w:pPr>
        <w:pStyle w:val="a5"/>
        <w:widowControl/>
        <w:autoSpaceDE/>
        <w:spacing w:line="360" w:lineRule="auto"/>
        <w:ind w:left="0" w:firstLine="709"/>
        <w:jc w:val="both"/>
        <w:rPr>
          <w:sz w:val="28"/>
          <w:szCs w:val="28"/>
        </w:rPr>
      </w:pPr>
      <w:r w:rsidRPr="00106428">
        <w:rPr>
          <w:sz w:val="28"/>
          <w:szCs w:val="28"/>
        </w:rPr>
        <w:t xml:space="preserve">- </w:t>
      </w:r>
      <m:oMath>
        <m:acc>
          <m:accPr>
            <m:chr m:val="̅"/>
            <m:ctrlPr>
              <w:rPr>
                <w:rFonts w:ascii="Cambria Math" w:hAnsi="Cambria Math"/>
                <w:i/>
                <w:sz w:val="28"/>
                <w:szCs w:val="28"/>
              </w:rPr>
            </m:ctrlPr>
          </m:accPr>
          <m:e>
            <m:r>
              <w:rPr>
                <w:rFonts w:ascii="Cambria Math" w:hAnsi="Cambria Math"/>
                <w:sz w:val="28"/>
                <w:szCs w:val="28"/>
              </w:rPr>
              <m:t>П</m:t>
            </m:r>
          </m:e>
        </m:acc>
      </m:oMath>
      <w:r w:rsidRPr="00106428">
        <w:rPr>
          <w:sz w:val="28"/>
          <w:szCs w:val="28"/>
        </w:rPr>
        <w:t>=</w:t>
      </w:r>
      <m:oMath>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П</m:t>
                </m:r>
              </m:e>
            </m:acc>
          </m:e>
          <m:sup>
            <m:r>
              <w:rPr>
                <w:rFonts w:ascii="Cambria Math" w:hAnsi="Cambria Math"/>
                <w:sz w:val="28"/>
                <w:szCs w:val="28"/>
              </w:rPr>
              <m:t>ОПС</m:t>
            </m:r>
          </m:sup>
        </m:sSup>
      </m:oMath>
      <w:r w:rsidRPr="00106428">
        <w:rPr>
          <w:sz w:val="28"/>
          <w:szCs w:val="28"/>
        </w:rPr>
        <w:t>+</w:t>
      </w:r>
      <m:oMath>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П</m:t>
                </m:r>
              </m:e>
            </m:acc>
          </m:e>
          <m:sup>
            <m:r>
              <w:rPr>
                <w:rFonts w:ascii="Cambria Math" w:hAnsi="Cambria Math"/>
                <w:sz w:val="28"/>
                <w:szCs w:val="28"/>
              </w:rPr>
              <m:t>ДПС</m:t>
            </m:r>
          </m:sup>
        </m:sSup>
      </m:oMath>
      <w:r w:rsidRPr="00106428">
        <w:rPr>
          <w:sz w:val="28"/>
          <w:szCs w:val="28"/>
        </w:rPr>
        <w:t>. Показатель показывает среднемесячную величину пенсии, которая может быть сформирована в конкретном НПФ</w:t>
      </w:r>
    </w:p>
    <w:p w14:paraId="61398D46" w14:textId="77777777" w:rsidR="00106428" w:rsidRPr="00106428" w:rsidRDefault="00106428" w:rsidP="00106428">
      <w:pPr>
        <w:pStyle w:val="a5"/>
        <w:widowControl/>
        <w:autoSpaceDE/>
        <w:spacing w:line="360" w:lineRule="auto"/>
        <w:ind w:left="0" w:firstLine="709"/>
        <w:jc w:val="both"/>
        <w:rPr>
          <w:sz w:val="28"/>
          <w:szCs w:val="28"/>
        </w:rPr>
      </w:pPr>
      <w:r w:rsidRPr="00106428">
        <w:rPr>
          <w:sz w:val="28"/>
          <w:szCs w:val="28"/>
        </w:rPr>
        <w:t xml:space="preserve">- </w:t>
      </w:r>
      <m:oMath>
        <m:sSup>
          <m:sSupPr>
            <m:ctrlPr>
              <w:rPr>
                <w:rFonts w:ascii="Cambria Math" w:hAnsi="Cambria Math"/>
                <w:i/>
                <w:sz w:val="28"/>
                <w:szCs w:val="28"/>
              </w:rPr>
            </m:ctrlPr>
          </m:sSupPr>
          <m:e>
            <m:acc>
              <m:accPr>
                <m:chr m:val="̅"/>
                <m:ctrlPr>
                  <w:rPr>
                    <w:rFonts w:ascii="Cambria Math" w:hAnsi="Cambria Math"/>
                    <w:i/>
                    <w:sz w:val="28"/>
                    <w:szCs w:val="28"/>
                  </w:rPr>
                </m:ctrlPr>
              </m:accPr>
              <m:e>
                <m:r>
                  <w:rPr>
                    <w:rFonts w:ascii="Cambria Math" w:hAnsi="Cambria Math"/>
                    <w:sz w:val="28"/>
                    <w:szCs w:val="28"/>
                  </w:rPr>
                  <m:t>П</m:t>
                </m:r>
              </m:e>
            </m:acc>
          </m:e>
          <m:sup>
            <m:r>
              <w:rPr>
                <w:rFonts w:ascii="Cambria Math" w:hAnsi="Cambria Math"/>
                <w:sz w:val="28"/>
                <w:szCs w:val="28"/>
              </w:rPr>
              <m:t>ОПС</m:t>
            </m:r>
          </m:sup>
        </m:sSup>
      </m:oMath>
      <w:r w:rsidRPr="00106428">
        <w:rPr>
          <w:sz w:val="28"/>
          <w:szCs w:val="28"/>
        </w:rPr>
        <w:t xml:space="preserve">= </w:t>
      </w:r>
      <m:oMath>
        <m:f>
          <m:fPr>
            <m:ctrlPr>
              <w:rPr>
                <w:rFonts w:ascii="Cambria Math" w:hAnsi="Cambria Math"/>
                <w:sz w:val="28"/>
                <w:szCs w:val="28"/>
              </w:rPr>
            </m:ctrlPr>
          </m:fPr>
          <m:num>
            <m:r>
              <m:rPr>
                <m:sty m:val="p"/>
              </m:rPr>
              <w:rPr>
                <w:rFonts w:ascii="Cambria Math" w:hAnsi="Cambria Math"/>
                <w:sz w:val="28"/>
                <w:szCs w:val="28"/>
              </w:rPr>
              <m:t>ПН</m:t>
            </m:r>
          </m:num>
          <m:den>
            <m:r>
              <m:rPr>
                <m:sty m:val="p"/>
              </m:rPr>
              <w:rPr>
                <w:rFonts w:ascii="Cambria Math" w:hAnsi="Cambria Math"/>
                <w:sz w:val="28"/>
                <w:szCs w:val="28"/>
              </w:rPr>
              <m:t>ЗЛ*Тв*12</m:t>
            </m:r>
          </m:den>
        </m:f>
      </m:oMath>
      <w:r w:rsidRPr="00106428">
        <w:rPr>
          <w:sz w:val="28"/>
          <w:szCs w:val="28"/>
        </w:rPr>
        <w:t xml:space="preserve"> . Показатель характеризует среднемесячную величину пенсии в рамках ОПС, которую фонд может предоставить в данный момент времени</w:t>
      </w:r>
    </w:p>
    <w:p w14:paraId="77ED9A9B" w14:textId="77777777" w:rsidR="00106428" w:rsidRPr="00106428" w:rsidRDefault="00106428" w:rsidP="00106428">
      <w:pPr>
        <w:spacing w:line="360" w:lineRule="auto"/>
        <w:ind w:firstLine="709"/>
        <w:jc w:val="both"/>
        <w:rPr>
          <w:rFonts w:ascii="Times New Roman" w:hAnsi="Times New Roman" w:cs="Times New Roman"/>
          <w:sz w:val="28"/>
          <w:szCs w:val="28"/>
        </w:rPr>
      </w:pPr>
      <w:r w:rsidRPr="00106428">
        <w:rPr>
          <w:rFonts w:ascii="Times New Roman" w:hAnsi="Times New Roman" w:cs="Times New Roman"/>
          <w:sz w:val="28"/>
          <w:szCs w:val="28"/>
        </w:rPr>
        <w:t xml:space="preserve">- </w:t>
      </w:r>
      <m:oMath>
        <m:sSup>
          <m:sSupPr>
            <m:ctrlPr>
              <w:rPr>
                <w:rFonts w:ascii="Cambria Math" w:eastAsia="Times New Roman" w:hAnsi="Cambria Math" w:cs="Times New Roman"/>
                <w:i/>
                <w:sz w:val="28"/>
                <w:szCs w:val="28"/>
                <w:lang w:bidi="ru-RU"/>
              </w:rPr>
            </m:ctrlPr>
          </m:sSupPr>
          <m:e>
            <m:acc>
              <m:accPr>
                <m:chr m:val="̅"/>
                <m:ctrlPr>
                  <w:rPr>
                    <w:rFonts w:ascii="Cambria Math" w:eastAsia="Times New Roman" w:hAnsi="Cambria Math" w:cs="Times New Roman"/>
                    <w:i/>
                    <w:sz w:val="28"/>
                    <w:szCs w:val="28"/>
                    <w:lang w:bidi="ru-RU"/>
                  </w:rPr>
                </m:ctrlPr>
              </m:accPr>
              <m:e>
                <m:r>
                  <w:rPr>
                    <w:rFonts w:ascii="Cambria Math" w:hAnsi="Cambria Math" w:cs="Times New Roman"/>
                    <w:sz w:val="28"/>
                    <w:szCs w:val="28"/>
                  </w:rPr>
                  <m:t>П</m:t>
                </m:r>
              </m:e>
            </m:acc>
          </m:e>
          <m:sup>
            <m:r>
              <w:rPr>
                <w:rFonts w:ascii="Cambria Math" w:hAnsi="Cambria Math" w:cs="Times New Roman"/>
                <w:sz w:val="28"/>
                <w:szCs w:val="28"/>
              </w:rPr>
              <m:t>ДПС</m:t>
            </m:r>
          </m:sup>
        </m:sSup>
      </m:oMath>
      <w:r w:rsidRPr="00106428">
        <w:rPr>
          <w:rFonts w:ascii="Times New Roman" w:hAnsi="Times New Roman" w:cs="Times New Roman"/>
          <w:sz w:val="28"/>
          <w:szCs w:val="28"/>
        </w:rPr>
        <w:t xml:space="preserve">= </w:t>
      </w:r>
      <m:oMath>
        <m:f>
          <m:fPr>
            <m:ctrlPr>
              <w:rPr>
                <w:rFonts w:ascii="Cambria Math" w:eastAsia="Times New Roman" w:hAnsi="Cambria Math" w:cs="Times New Roman"/>
                <w:sz w:val="28"/>
                <w:szCs w:val="28"/>
                <w:lang w:bidi="ru-RU"/>
              </w:rPr>
            </m:ctrlPr>
          </m:fPr>
          <m:num>
            <m:r>
              <m:rPr>
                <m:sty m:val="p"/>
              </m:rPr>
              <w:rPr>
                <w:rFonts w:ascii="Cambria Math" w:hAnsi="Cambria Math" w:cs="Times New Roman"/>
                <w:sz w:val="28"/>
                <w:szCs w:val="28"/>
              </w:rPr>
              <m:t>ПР</m:t>
            </m:r>
          </m:num>
          <m:den>
            <m:r>
              <m:rPr>
                <m:sty m:val="p"/>
              </m:rPr>
              <w:rPr>
                <w:rFonts w:ascii="Cambria Math" w:hAnsi="Cambria Math" w:cs="Times New Roman"/>
                <w:sz w:val="28"/>
                <w:szCs w:val="28"/>
              </w:rPr>
              <m:t>У*Тв*12</m:t>
            </m:r>
          </m:den>
        </m:f>
      </m:oMath>
      <w:r w:rsidRPr="00106428">
        <w:rPr>
          <w:rFonts w:ascii="Times New Roman" w:hAnsi="Times New Roman" w:cs="Times New Roman"/>
          <w:sz w:val="28"/>
          <w:szCs w:val="28"/>
        </w:rPr>
        <w:t>. Показатель среднемесячную величину пенсии в рамках ДПС, которую фонд может предоставить в данный момент времени</w:t>
      </w:r>
    </w:p>
    <w:p w14:paraId="715126E3" w14:textId="77777777" w:rsidR="00106428" w:rsidRPr="00106428" w:rsidRDefault="00106428" w:rsidP="00106428">
      <w:pPr>
        <w:spacing w:line="360" w:lineRule="auto"/>
        <w:ind w:firstLine="709"/>
        <w:jc w:val="both"/>
        <w:rPr>
          <w:rFonts w:ascii="Times New Roman" w:hAnsi="Times New Roman" w:cs="Times New Roman"/>
          <w:sz w:val="28"/>
        </w:rPr>
      </w:pPr>
      <w:r w:rsidRPr="00106428">
        <w:rPr>
          <w:rFonts w:ascii="Times New Roman" w:hAnsi="Times New Roman" w:cs="Times New Roman"/>
          <w:sz w:val="28"/>
          <w:szCs w:val="28"/>
        </w:rPr>
        <w:lastRenderedPageBreak/>
        <w:t xml:space="preserve">- </w:t>
      </w:r>
      <w:proofErr w:type="spellStart"/>
      <w:r w:rsidRPr="00106428">
        <w:rPr>
          <w:rFonts w:ascii="Times New Roman" w:hAnsi="Times New Roman" w:cs="Times New Roman"/>
          <w:sz w:val="28"/>
          <w:szCs w:val="28"/>
        </w:rPr>
        <w:t>Кавт</w:t>
      </w:r>
      <w:proofErr w:type="spellEnd"/>
      <w:r w:rsidRPr="00106428">
        <w:rPr>
          <w:rFonts w:ascii="Times New Roman" w:hAnsi="Times New Roman" w:cs="Times New Roman"/>
          <w:sz w:val="28"/>
          <w:szCs w:val="28"/>
        </w:rPr>
        <w:t xml:space="preserve"> = </w:t>
      </w:r>
      <m:oMath>
        <m:f>
          <m:fPr>
            <m:ctrlPr>
              <w:rPr>
                <w:rFonts w:ascii="Cambria Math" w:eastAsia="Times New Roman" w:hAnsi="Cambria Math" w:cs="Times New Roman"/>
                <w:sz w:val="28"/>
                <w:szCs w:val="28"/>
                <w:lang w:bidi="ru-RU"/>
              </w:rPr>
            </m:ctrlPr>
          </m:fPr>
          <m:num>
            <m:r>
              <m:rPr>
                <m:sty m:val="p"/>
              </m:rPr>
              <w:rPr>
                <w:rFonts w:ascii="Cambria Math" w:hAnsi="Cambria Math" w:cs="Times New Roman"/>
                <w:sz w:val="28"/>
                <w:szCs w:val="28"/>
              </w:rPr>
              <m:t>ИОУД</m:t>
            </m:r>
          </m:num>
          <m:den>
            <m:r>
              <m:rPr>
                <m:sty m:val="p"/>
              </m:rPr>
              <w:rPr>
                <w:rFonts w:ascii="Cambria Math" w:hAnsi="Cambria Math" w:cs="Times New Roman"/>
                <w:sz w:val="28"/>
                <w:szCs w:val="28"/>
              </w:rPr>
              <m:t>ВБ</m:t>
            </m:r>
          </m:den>
        </m:f>
      </m:oMath>
      <w:r w:rsidRPr="00106428">
        <w:rPr>
          <w:rFonts w:ascii="Times New Roman" w:hAnsi="Times New Roman" w:cs="Times New Roman"/>
          <w:sz w:val="28"/>
          <w:szCs w:val="28"/>
        </w:rPr>
        <w:t xml:space="preserve"> </w:t>
      </w:r>
      <w:r w:rsidRPr="00106428">
        <w:rPr>
          <w:rFonts w:ascii="Times New Roman" w:hAnsi="Times New Roman" w:cs="Times New Roman"/>
          <w:sz w:val="36"/>
          <w:szCs w:val="28"/>
        </w:rPr>
        <w:t xml:space="preserve"> </w:t>
      </w:r>
      <w:r w:rsidRPr="00106428">
        <w:rPr>
          <w:rFonts w:ascii="Times New Roman" w:hAnsi="Times New Roman" w:cs="Times New Roman"/>
          <w:sz w:val="28"/>
          <w:szCs w:val="28"/>
        </w:rPr>
        <w:t xml:space="preserve">Показатель </w:t>
      </w:r>
      <w:r w:rsidRPr="00106428">
        <w:rPr>
          <w:rFonts w:ascii="Times New Roman" w:hAnsi="Times New Roman" w:cs="Times New Roman"/>
          <w:sz w:val="28"/>
        </w:rPr>
        <w:t>показывает, какую часть пассива (собственного имущества) занимает имущество, предназначенное для обеспечения уставной деятельности.</w:t>
      </w:r>
    </w:p>
    <w:p w14:paraId="514DD8F6" w14:textId="77777777" w:rsidR="00106428" w:rsidRPr="00106428" w:rsidRDefault="00106428" w:rsidP="00106428">
      <w:pPr>
        <w:spacing w:line="360" w:lineRule="auto"/>
        <w:ind w:firstLine="709"/>
        <w:jc w:val="both"/>
        <w:rPr>
          <w:rFonts w:ascii="Times New Roman" w:hAnsi="Times New Roman" w:cs="Times New Roman"/>
          <w:sz w:val="28"/>
          <w:szCs w:val="28"/>
        </w:rPr>
      </w:pPr>
      <w:r w:rsidRPr="00106428">
        <w:rPr>
          <w:rFonts w:ascii="Times New Roman" w:hAnsi="Times New Roman" w:cs="Times New Roman"/>
          <w:sz w:val="28"/>
        </w:rPr>
        <w:t xml:space="preserve">- Кб = </w:t>
      </w:r>
      <m:oMath>
        <m:f>
          <m:fPr>
            <m:ctrlPr>
              <w:rPr>
                <w:rFonts w:ascii="Cambria Math" w:eastAsia="Times New Roman" w:hAnsi="Cambria Math" w:cs="Times New Roman"/>
                <w:sz w:val="28"/>
                <w:szCs w:val="28"/>
                <w:lang w:bidi="ru-RU"/>
              </w:rPr>
            </m:ctrlPr>
          </m:fPr>
          <m:num>
            <m:r>
              <m:rPr>
                <m:sty m:val="p"/>
              </m:rPr>
              <w:rPr>
                <w:rFonts w:ascii="Cambria Math" w:hAnsi="Cambria Math" w:cs="Times New Roman"/>
                <w:sz w:val="28"/>
                <w:szCs w:val="28"/>
              </w:rPr>
              <m:t>ИОУД+ПР</m:t>
            </m:r>
          </m:num>
          <m:den>
            <m:r>
              <m:rPr>
                <m:sty m:val="p"/>
              </m:rPr>
              <w:rPr>
                <w:rFonts w:ascii="Cambria Math" w:hAnsi="Cambria Math" w:cs="Times New Roman"/>
                <w:sz w:val="28"/>
                <w:szCs w:val="28"/>
              </w:rPr>
              <m:t>ВБ</m:t>
            </m:r>
          </m:den>
        </m:f>
      </m:oMath>
      <w:r w:rsidRPr="00106428">
        <w:rPr>
          <w:rFonts w:ascii="Times New Roman" w:hAnsi="Times New Roman" w:cs="Times New Roman"/>
          <w:sz w:val="28"/>
          <w:szCs w:val="28"/>
        </w:rPr>
        <w:t>. Показатель оценивает долю устойчивых пассивов в общей сумме всех источников финансирования деятельности НПФ</w:t>
      </w:r>
    </w:p>
    <w:p w14:paraId="32893101" w14:textId="77777777" w:rsidR="00106428" w:rsidRPr="00106428" w:rsidRDefault="00106428" w:rsidP="00106428">
      <w:pPr>
        <w:spacing w:after="0" w:line="360" w:lineRule="auto"/>
        <w:ind w:firstLine="709"/>
        <w:jc w:val="both"/>
        <w:rPr>
          <w:rFonts w:ascii="Times New Roman" w:hAnsi="Times New Roman" w:cs="Times New Roman"/>
          <w:sz w:val="28"/>
          <w:szCs w:val="28"/>
        </w:rPr>
      </w:pPr>
      <w:r w:rsidRPr="00106428">
        <w:rPr>
          <w:rFonts w:ascii="Times New Roman" w:hAnsi="Times New Roman" w:cs="Times New Roman"/>
          <w:sz w:val="28"/>
          <w:szCs w:val="28"/>
        </w:rPr>
        <w:t xml:space="preserve">- </w:t>
      </w:r>
      <w:proofErr w:type="spellStart"/>
      <w:r w:rsidRPr="00106428">
        <w:rPr>
          <w:rFonts w:ascii="Times New Roman" w:hAnsi="Times New Roman" w:cs="Times New Roman"/>
          <w:sz w:val="28"/>
          <w:szCs w:val="28"/>
        </w:rPr>
        <w:t>Кз</w:t>
      </w:r>
      <w:proofErr w:type="spellEnd"/>
      <w:r w:rsidRPr="00106428">
        <w:rPr>
          <w:rFonts w:ascii="Times New Roman" w:hAnsi="Times New Roman" w:cs="Times New Roman"/>
          <w:sz w:val="28"/>
          <w:szCs w:val="28"/>
        </w:rPr>
        <w:t xml:space="preserve"> = </w:t>
      </w:r>
      <m:oMath>
        <m:f>
          <m:fPr>
            <m:ctrlPr>
              <w:rPr>
                <w:rFonts w:ascii="Cambria Math" w:eastAsia="Times New Roman" w:hAnsi="Cambria Math" w:cs="Times New Roman"/>
                <w:sz w:val="28"/>
                <w:szCs w:val="28"/>
                <w:lang w:bidi="ru-RU"/>
              </w:rPr>
            </m:ctrlPr>
          </m:fPr>
          <m:num>
            <m:r>
              <m:rPr>
                <m:sty m:val="p"/>
              </m:rPr>
              <w:rPr>
                <w:rFonts w:ascii="Cambria Math" w:hAnsi="Cambria Math" w:cs="Times New Roman"/>
                <w:sz w:val="28"/>
                <w:szCs w:val="28"/>
              </w:rPr>
              <m:t>КО+ До</m:t>
            </m:r>
          </m:num>
          <m:den>
            <m:r>
              <m:rPr>
                <m:sty m:val="p"/>
              </m:rPr>
              <w:rPr>
                <w:rFonts w:ascii="Cambria Math" w:hAnsi="Cambria Math" w:cs="Times New Roman"/>
                <w:sz w:val="28"/>
                <w:szCs w:val="28"/>
              </w:rPr>
              <m:t>ВБ</m:t>
            </m:r>
          </m:den>
        </m:f>
      </m:oMath>
      <w:r w:rsidRPr="00106428">
        <w:rPr>
          <w:rFonts w:ascii="Times New Roman" w:hAnsi="Times New Roman" w:cs="Times New Roman"/>
          <w:sz w:val="28"/>
          <w:szCs w:val="28"/>
        </w:rPr>
        <w:t>. Показатель дает количественную характеристику доли пассивов, необходимой для погашения обязательств фонда, а также доли обязательств, напрямую не связанных с обеспечением уставной деятельности; (учитывая специфику деятельности НПФ, рассчитывается для определения необходимости расчета следующего показателя, пороговый уровень составляет 5% от валюты баланса)</w:t>
      </w:r>
    </w:p>
    <w:p w14:paraId="5429D2D2" w14:textId="77777777" w:rsidR="00106428" w:rsidRPr="00106428" w:rsidRDefault="00106428" w:rsidP="00106428">
      <w:pPr>
        <w:spacing w:after="0" w:line="360" w:lineRule="auto"/>
        <w:ind w:firstLine="709"/>
        <w:jc w:val="both"/>
        <w:rPr>
          <w:rFonts w:ascii="Times New Roman" w:hAnsi="Times New Roman" w:cs="Times New Roman"/>
          <w:sz w:val="28"/>
          <w:szCs w:val="28"/>
        </w:rPr>
      </w:pPr>
      <w:r w:rsidRPr="00106428">
        <w:rPr>
          <w:rFonts w:ascii="Times New Roman" w:hAnsi="Times New Roman" w:cs="Times New Roman"/>
          <w:sz w:val="28"/>
          <w:szCs w:val="28"/>
        </w:rPr>
        <w:t xml:space="preserve">- </w:t>
      </w:r>
      <w:proofErr w:type="spellStart"/>
      <w:r w:rsidRPr="00106428">
        <w:rPr>
          <w:rFonts w:ascii="Times New Roman" w:hAnsi="Times New Roman" w:cs="Times New Roman"/>
          <w:sz w:val="28"/>
          <w:szCs w:val="28"/>
        </w:rPr>
        <w:t>Кпог</w:t>
      </w:r>
      <w:proofErr w:type="spellEnd"/>
      <w:r w:rsidRPr="00106428">
        <w:rPr>
          <w:rFonts w:ascii="Times New Roman" w:hAnsi="Times New Roman" w:cs="Times New Roman"/>
          <w:sz w:val="28"/>
          <w:szCs w:val="28"/>
        </w:rPr>
        <w:t xml:space="preserve"> = </w:t>
      </w:r>
      <m:oMath>
        <m:f>
          <m:fPr>
            <m:ctrlPr>
              <w:rPr>
                <w:rFonts w:ascii="Cambria Math" w:eastAsia="Times New Roman" w:hAnsi="Cambria Math" w:cs="Times New Roman"/>
                <w:sz w:val="28"/>
                <w:szCs w:val="28"/>
                <w:lang w:bidi="ru-RU"/>
              </w:rPr>
            </m:ctrlPr>
          </m:fPr>
          <m:num>
            <m:r>
              <m:rPr>
                <m:sty m:val="p"/>
              </m:rPr>
              <w:rPr>
                <w:rFonts w:ascii="Cambria Math" w:hAnsi="Cambria Math" w:cs="Times New Roman"/>
                <w:sz w:val="28"/>
                <w:szCs w:val="28"/>
              </w:rPr>
              <m:t>КО+Пр</m:t>
            </m:r>
          </m:num>
          <m:den>
            <m:r>
              <m:rPr>
                <m:sty m:val="p"/>
              </m:rPr>
              <w:rPr>
                <w:rFonts w:ascii="Cambria Math" w:hAnsi="Cambria Math" w:cs="Times New Roman"/>
                <w:sz w:val="28"/>
                <w:szCs w:val="28"/>
              </w:rPr>
              <m:t>ИОУД</m:t>
            </m:r>
          </m:den>
        </m:f>
      </m:oMath>
      <w:r w:rsidRPr="00106428">
        <w:rPr>
          <w:rFonts w:ascii="Times New Roman" w:hAnsi="Times New Roman" w:cs="Times New Roman"/>
          <w:sz w:val="28"/>
          <w:szCs w:val="28"/>
        </w:rPr>
        <w:t xml:space="preserve"> . Показывает, какая часть имущества, предназначенного для обеспечения уставной деятельности, требуется для погашения обязательств фонда, напрямую не связанных с уставной деятельностью (может не рассчитываться в случае, когда пороговый уровень предыдущего показателя в среднем по всем НПФ не превышает 5%). </w:t>
      </w:r>
    </w:p>
    <w:p w14:paraId="6389ABDC" w14:textId="77777777" w:rsidR="00106428" w:rsidRPr="00106428" w:rsidRDefault="00106428" w:rsidP="00106428">
      <w:pPr>
        <w:spacing w:line="360" w:lineRule="auto"/>
        <w:ind w:firstLine="709"/>
        <w:jc w:val="both"/>
        <w:rPr>
          <w:rFonts w:ascii="Times New Roman" w:hAnsi="Times New Roman" w:cs="Times New Roman"/>
          <w:sz w:val="28"/>
          <w:szCs w:val="28"/>
        </w:rPr>
      </w:pPr>
      <w:r w:rsidRPr="00106428">
        <w:rPr>
          <w:rFonts w:ascii="Times New Roman" w:hAnsi="Times New Roman" w:cs="Times New Roman"/>
          <w:sz w:val="28"/>
          <w:szCs w:val="28"/>
        </w:rPr>
        <w:t xml:space="preserve">- </w:t>
      </w:r>
      <m:oMath>
        <m:sSup>
          <m:sSupPr>
            <m:ctrlPr>
              <w:rPr>
                <w:rFonts w:ascii="Cambria Math" w:eastAsia="Times New Roman" w:hAnsi="Cambria Math" w:cs="Times New Roman"/>
                <w:i/>
                <w:sz w:val="28"/>
                <w:szCs w:val="28"/>
                <w:lang w:bidi="ru-RU"/>
              </w:rPr>
            </m:ctrlPr>
          </m:sSupPr>
          <m:e>
            <m:r>
              <w:rPr>
                <w:rFonts w:ascii="Cambria Math" w:hAnsi="Cambria Math" w:cs="Times New Roman"/>
                <w:sz w:val="28"/>
                <w:szCs w:val="28"/>
              </w:rPr>
              <m:t>Д</m:t>
            </m:r>
          </m:e>
          <m:sup>
            <m:r>
              <w:rPr>
                <w:rFonts w:ascii="Cambria Math" w:hAnsi="Cambria Math" w:cs="Times New Roman"/>
                <w:sz w:val="28"/>
                <w:szCs w:val="28"/>
              </w:rPr>
              <m:t>ИП</m:t>
            </m:r>
          </m:sup>
        </m:sSup>
      </m:oMath>
      <w:r w:rsidRPr="00106428">
        <w:rPr>
          <w:rFonts w:ascii="Times New Roman" w:hAnsi="Times New Roman" w:cs="Times New Roman"/>
          <w:sz w:val="28"/>
          <w:szCs w:val="28"/>
        </w:rPr>
        <w:t xml:space="preserve"> = </w:t>
      </w:r>
      <m:oMath>
        <m:f>
          <m:fPr>
            <m:ctrlPr>
              <w:rPr>
                <w:rFonts w:ascii="Cambria Math" w:eastAsia="Times New Roman" w:hAnsi="Cambria Math" w:cs="Times New Roman"/>
                <w:sz w:val="28"/>
                <w:szCs w:val="28"/>
                <w:lang w:bidi="ru-RU"/>
              </w:rPr>
            </m:ctrlPr>
          </m:fPr>
          <m:num>
            <m:r>
              <m:rPr>
                <m:sty m:val="p"/>
              </m:rPr>
              <w:rPr>
                <w:rFonts w:ascii="Cambria Math" w:hAnsi="Cambria Math" w:cs="Times New Roman"/>
                <w:sz w:val="28"/>
                <w:szCs w:val="28"/>
              </w:rPr>
              <m:t>ПН+ПР</m:t>
            </m:r>
          </m:num>
          <m:den>
            <m:r>
              <m:rPr>
                <m:sty m:val="p"/>
              </m:rPr>
              <w:rPr>
                <w:rFonts w:ascii="Cambria Math" w:hAnsi="Cambria Math" w:cs="Times New Roman"/>
                <w:sz w:val="28"/>
                <w:szCs w:val="28"/>
              </w:rPr>
              <m:t>ВБ</m:t>
            </m:r>
          </m:den>
        </m:f>
      </m:oMath>
      <w:r w:rsidRPr="00106428">
        <w:rPr>
          <w:rFonts w:ascii="Times New Roman" w:hAnsi="Times New Roman" w:cs="Times New Roman"/>
          <w:sz w:val="28"/>
          <w:szCs w:val="28"/>
        </w:rPr>
        <w:t>. Показатель характеризует долю ресурсов инвестиционного характера в общей стоимости пассивов.</w:t>
      </w:r>
    </w:p>
    <w:p w14:paraId="33931481" w14:textId="77777777" w:rsidR="00106428" w:rsidRPr="00106428" w:rsidRDefault="00106428" w:rsidP="00106428">
      <w:pPr>
        <w:spacing w:after="0" w:line="360" w:lineRule="auto"/>
        <w:ind w:firstLine="709"/>
        <w:jc w:val="both"/>
        <w:rPr>
          <w:rFonts w:ascii="Times New Roman" w:hAnsi="Times New Roman" w:cs="Times New Roman"/>
          <w:sz w:val="28"/>
          <w:szCs w:val="28"/>
        </w:rPr>
      </w:pPr>
      <w:r w:rsidRPr="00106428">
        <w:rPr>
          <w:rFonts w:ascii="Times New Roman" w:hAnsi="Times New Roman" w:cs="Times New Roman"/>
          <w:sz w:val="28"/>
          <w:szCs w:val="28"/>
        </w:rPr>
        <w:t xml:space="preserve">- П = </w:t>
      </w:r>
      <m:oMath>
        <m:f>
          <m:fPr>
            <m:ctrlPr>
              <w:rPr>
                <w:rFonts w:ascii="Cambria Math" w:eastAsia="Times New Roman" w:hAnsi="Cambria Math" w:cs="Times New Roman"/>
                <w:sz w:val="28"/>
                <w:szCs w:val="28"/>
                <w:lang w:bidi="ru-RU"/>
              </w:rPr>
            </m:ctrlPr>
          </m:fPr>
          <m:num>
            <m:r>
              <m:rPr>
                <m:sty m:val="p"/>
              </m:rPr>
              <w:rPr>
                <w:rFonts w:ascii="Cambria Math" w:hAnsi="Cambria Math" w:cs="Times New Roman"/>
                <w:sz w:val="28"/>
                <w:szCs w:val="28"/>
              </w:rPr>
              <m:t>ПН+ПР</m:t>
            </m:r>
          </m:num>
          <m:den>
            <m:r>
              <m:rPr>
                <m:sty m:val="p"/>
              </m:rPr>
              <w:rPr>
                <w:rFonts w:ascii="Cambria Math" w:hAnsi="Cambria Math" w:cs="Times New Roman"/>
                <w:sz w:val="28"/>
                <w:szCs w:val="28"/>
              </w:rPr>
              <m:t>ИОУД</m:t>
            </m:r>
          </m:den>
        </m:f>
      </m:oMath>
      <w:r w:rsidRPr="00106428">
        <w:rPr>
          <w:rFonts w:ascii="Times New Roman" w:hAnsi="Times New Roman" w:cs="Times New Roman"/>
          <w:sz w:val="28"/>
          <w:szCs w:val="28"/>
        </w:rPr>
        <w:t>. Показатель оценивает потенциал НПФ в части осуществления инвестиционной деятельности.</w:t>
      </w:r>
    </w:p>
    <w:p w14:paraId="2C865CD3" w14:textId="77777777" w:rsidR="00106428" w:rsidRPr="00106428" w:rsidRDefault="00106428" w:rsidP="00106428">
      <w:pPr>
        <w:spacing w:line="360" w:lineRule="auto"/>
        <w:ind w:firstLine="709"/>
        <w:jc w:val="both"/>
        <w:rPr>
          <w:rFonts w:ascii="Times New Roman" w:hAnsi="Times New Roman" w:cs="Times New Roman"/>
          <w:sz w:val="28"/>
          <w:szCs w:val="28"/>
        </w:rPr>
      </w:pPr>
      <w:r w:rsidRPr="00106428">
        <w:rPr>
          <w:rFonts w:ascii="Times New Roman" w:hAnsi="Times New Roman" w:cs="Times New Roman"/>
        </w:rPr>
        <w:t>̅</w:t>
      </w:r>
      <w:r w:rsidRPr="00106428">
        <w:rPr>
          <w:rFonts w:ascii="Times New Roman" w:hAnsi="Times New Roman" w:cs="Times New Roman"/>
          <w:sz w:val="28"/>
          <w:szCs w:val="28"/>
        </w:rPr>
        <w:t xml:space="preserve">П – средняя возможная пенсия; П̅ОПС – средняя возможная пенсия в рамках ОПС; </w:t>
      </w:r>
      <w:proofErr w:type="spellStart"/>
      <w:r w:rsidRPr="00106428">
        <w:rPr>
          <w:rFonts w:ascii="Times New Roman" w:hAnsi="Times New Roman" w:cs="Times New Roman"/>
          <w:sz w:val="28"/>
          <w:szCs w:val="28"/>
        </w:rPr>
        <w:t>Кавт</w:t>
      </w:r>
      <w:proofErr w:type="spellEnd"/>
      <w:r w:rsidRPr="00106428">
        <w:rPr>
          <w:rFonts w:ascii="Times New Roman" w:hAnsi="Times New Roman" w:cs="Times New Roman"/>
          <w:sz w:val="28"/>
          <w:szCs w:val="28"/>
        </w:rPr>
        <w:t xml:space="preserve"> – коэффициент автономии; </w:t>
      </w:r>
      <w:proofErr w:type="spellStart"/>
      <w:r w:rsidRPr="00106428">
        <w:rPr>
          <w:rFonts w:ascii="Times New Roman" w:hAnsi="Times New Roman" w:cs="Times New Roman"/>
          <w:sz w:val="28"/>
          <w:szCs w:val="28"/>
        </w:rPr>
        <w:t>Кз</w:t>
      </w:r>
      <w:proofErr w:type="spellEnd"/>
      <w:r w:rsidRPr="00106428">
        <w:rPr>
          <w:rFonts w:ascii="Times New Roman" w:hAnsi="Times New Roman" w:cs="Times New Roman"/>
          <w:sz w:val="28"/>
          <w:szCs w:val="28"/>
        </w:rPr>
        <w:t xml:space="preserve"> – коэффициент зависимости; Кб – коэффициент безопасности; </w:t>
      </w:r>
      <w:proofErr w:type="spellStart"/>
      <w:r w:rsidRPr="00106428">
        <w:rPr>
          <w:rFonts w:ascii="Times New Roman" w:hAnsi="Times New Roman" w:cs="Times New Roman"/>
          <w:sz w:val="28"/>
          <w:szCs w:val="28"/>
        </w:rPr>
        <w:t>Кпог</w:t>
      </w:r>
      <w:proofErr w:type="spellEnd"/>
      <w:r w:rsidRPr="00106428">
        <w:rPr>
          <w:rFonts w:ascii="Times New Roman" w:hAnsi="Times New Roman" w:cs="Times New Roman"/>
          <w:sz w:val="28"/>
          <w:szCs w:val="28"/>
        </w:rPr>
        <w:t xml:space="preserve"> – коэффициент погашения; П̅ДПС – средняя возможная пенсия в рамках ДПС; ПН – пенсионные накопления; ПР – пенсионные резервы; ЗЛ – количество застрахованных лиц; У – количество участников; </w:t>
      </w:r>
      <w:proofErr w:type="spellStart"/>
      <w:r w:rsidRPr="00106428">
        <w:rPr>
          <w:rFonts w:ascii="Times New Roman" w:hAnsi="Times New Roman" w:cs="Times New Roman"/>
          <w:sz w:val="28"/>
          <w:szCs w:val="28"/>
        </w:rPr>
        <w:t>Соб.И</w:t>
      </w:r>
      <w:proofErr w:type="spellEnd"/>
      <w:r w:rsidRPr="00106428">
        <w:rPr>
          <w:rFonts w:ascii="Times New Roman" w:hAnsi="Times New Roman" w:cs="Times New Roman"/>
          <w:sz w:val="28"/>
          <w:szCs w:val="28"/>
        </w:rPr>
        <w:t xml:space="preserve"> – собственное имущество; КО и ДО – краткосрочные и </w:t>
      </w:r>
      <w:r w:rsidRPr="00106428">
        <w:rPr>
          <w:rFonts w:ascii="Times New Roman" w:hAnsi="Times New Roman" w:cs="Times New Roman"/>
          <w:sz w:val="28"/>
          <w:szCs w:val="28"/>
        </w:rPr>
        <w:lastRenderedPageBreak/>
        <w:t xml:space="preserve">долгосрочные обязательства фондов; ИОУД – имущество, предназначенное для обеспечения уставной деятельности фондов; </w:t>
      </w:r>
      <w:proofErr w:type="spellStart"/>
      <w:r w:rsidRPr="00106428">
        <w:rPr>
          <w:rFonts w:ascii="Times New Roman" w:hAnsi="Times New Roman" w:cs="Times New Roman"/>
          <w:sz w:val="28"/>
          <w:szCs w:val="28"/>
        </w:rPr>
        <w:t>Тв</w:t>
      </w:r>
      <w:proofErr w:type="spellEnd"/>
      <w:r w:rsidRPr="00106428">
        <w:rPr>
          <w:rFonts w:ascii="Times New Roman" w:hAnsi="Times New Roman" w:cs="Times New Roman"/>
          <w:sz w:val="28"/>
          <w:szCs w:val="28"/>
        </w:rPr>
        <w:t xml:space="preserve"> – количество лет выплат</w:t>
      </w:r>
    </w:p>
    <w:p w14:paraId="39A3DAD4" w14:textId="77777777" w:rsidR="00106428" w:rsidRPr="00106428" w:rsidRDefault="00106428" w:rsidP="00106428">
      <w:pPr>
        <w:pStyle w:val="a5"/>
        <w:widowControl/>
        <w:autoSpaceDE/>
        <w:spacing w:line="360" w:lineRule="auto"/>
        <w:ind w:left="0" w:firstLine="709"/>
        <w:jc w:val="both"/>
        <w:rPr>
          <w:sz w:val="28"/>
          <w:szCs w:val="28"/>
        </w:rPr>
      </w:pPr>
      <w:r w:rsidRPr="00106428">
        <w:rPr>
          <w:sz w:val="28"/>
          <w:szCs w:val="28"/>
        </w:rPr>
        <w:t>Показатели, оценивающие результат приращения ресурсов НПФ выглядят следующим образом:</w:t>
      </w:r>
    </w:p>
    <w:p w14:paraId="5E0EB820" w14:textId="77777777" w:rsidR="00106428" w:rsidRPr="00106428" w:rsidRDefault="00106428" w:rsidP="00106428">
      <w:pPr>
        <w:pStyle w:val="a5"/>
        <w:widowControl/>
        <w:autoSpaceDE/>
        <w:spacing w:line="360" w:lineRule="auto"/>
        <w:ind w:left="0" w:firstLine="709"/>
        <w:jc w:val="both"/>
        <w:rPr>
          <w:sz w:val="28"/>
          <w:szCs w:val="28"/>
        </w:rPr>
      </w:pPr>
      <w:r w:rsidRPr="00106428">
        <w:rPr>
          <w:sz w:val="28"/>
          <w:szCs w:val="28"/>
        </w:rPr>
        <w:t xml:space="preserve">- </w:t>
      </w:r>
      <m:oMath>
        <m:sSup>
          <m:sSupPr>
            <m:ctrlPr>
              <w:rPr>
                <w:rFonts w:ascii="Cambria Math" w:hAnsi="Cambria Math"/>
                <w:i/>
                <w:sz w:val="28"/>
                <w:szCs w:val="28"/>
              </w:rPr>
            </m:ctrlPr>
          </m:sSupPr>
          <m:e>
            <m:r>
              <w:rPr>
                <w:rFonts w:ascii="Cambria Math" w:hAnsi="Cambria Math"/>
                <w:sz w:val="28"/>
                <w:szCs w:val="28"/>
              </w:rPr>
              <m:t>Д</m:t>
            </m:r>
          </m:e>
          <m:sup>
            <m:r>
              <w:rPr>
                <w:rFonts w:ascii="Cambria Math" w:hAnsi="Cambria Math"/>
                <w:sz w:val="28"/>
                <w:szCs w:val="28"/>
              </w:rPr>
              <m:t>Н</m:t>
            </m:r>
          </m:sup>
        </m:sSup>
        <m:r>
          <m:rPr>
            <m:sty m:val="p"/>
          </m:rPr>
          <w:rPr>
            <w:rFonts w:ascii="Cambria Math" w:hAnsi="Cambria Math"/>
            <w:sz w:val="28"/>
            <w:szCs w:val="28"/>
          </w:rPr>
          <m:t>=</m:t>
        </m:r>
        <m:f>
          <m:fPr>
            <m:ctrlPr>
              <w:rPr>
                <w:rFonts w:ascii="Cambria Math" w:hAnsi="Cambria Math"/>
                <w:sz w:val="28"/>
                <w:szCs w:val="28"/>
              </w:rPr>
            </m:ctrlPr>
          </m:fPr>
          <m:num>
            <m:sSup>
              <m:sSupPr>
                <m:ctrlPr>
                  <w:rPr>
                    <w:rFonts w:ascii="Cambria Math" w:hAnsi="Cambria Math"/>
                    <w:i/>
                    <w:sz w:val="28"/>
                    <w:szCs w:val="28"/>
                  </w:rPr>
                </m:ctrlPr>
              </m:sSupPr>
              <m:e>
                <m:r>
                  <w:rPr>
                    <w:rFonts w:ascii="Cambria Math" w:hAnsi="Cambria Math"/>
                    <w:sz w:val="28"/>
                    <w:szCs w:val="28"/>
                  </w:rPr>
                  <m:t>ИД</m:t>
                </m:r>
              </m:e>
              <m:sup>
                <m:r>
                  <w:rPr>
                    <w:rFonts w:ascii="Cambria Math" w:hAnsi="Cambria Math"/>
                    <w:sz w:val="28"/>
                    <w:szCs w:val="28"/>
                  </w:rPr>
                  <m:t>ПН</m:t>
                </m:r>
              </m:sup>
            </m:sSup>
          </m:num>
          <m:den>
            <m:sSub>
              <m:sSubPr>
                <m:ctrlPr>
                  <w:rPr>
                    <w:rFonts w:ascii="Cambria Math" w:hAnsi="Cambria Math"/>
                    <w:sz w:val="28"/>
                    <w:szCs w:val="28"/>
                  </w:rPr>
                </m:ctrlPr>
              </m:sSubPr>
              <m:e>
                <m:r>
                  <w:rPr>
                    <w:rFonts w:ascii="Cambria Math" w:hAnsi="Cambria Math"/>
                    <w:sz w:val="28"/>
                    <w:szCs w:val="28"/>
                  </w:rPr>
                  <m:t>ПН</m:t>
                </m:r>
              </m:e>
              <m:sub>
                <m:r>
                  <w:rPr>
                    <w:rFonts w:ascii="Cambria Math" w:hAnsi="Cambria Math"/>
                    <w:sz w:val="28"/>
                    <w:szCs w:val="28"/>
                  </w:rPr>
                  <m:t>о</m:t>
                </m:r>
              </m:sub>
            </m:sSub>
          </m:den>
        </m:f>
      </m:oMath>
      <w:r w:rsidRPr="00106428">
        <w:rPr>
          <w:sz w:val="28"/>
          <w:szCs w:val="28"/>
        </w:rPr>
        <w:t>. Показатель отражает доходность от инвестирования пенсионных накоплений граждан, переданных в управление управляющим компаниям.</w:t>
      </w:r>
    </w:p>
    <w:p w14:paraId="75BA9DE8" w14:textId="77777777" w:rsidR="00106428" w:rsidRPr="00106428" w:rsidRDefault="00106428" w:rsidP="00106428">
      <w:pPr>
        <w:pStyle w:val="a5"/>
        <w:widowControl/>
        <w:autoSpaceDE/>
        <w:spacing w:line="360" w:lineRule="auto"/>
        <w:ind w:left="0" w:firstLine="709"/>
        <w:jc w:val="both"/>
        <w:rPr>
          <w:sz w:val="28"/>
          <w:szCs w:val="28"/>
        </w:rPr>
      </w:pPr>
      <w:r w:rsidRPr="00106428">
        <w:rPr>
          <w:sz w:val="28"/>
          <w:szCs w:val="28"/>
        </w:rPr>
        <w:t xml:space="preserve">- </w:t>
      </w:r>
      <m:oMath>
        <m:sSup>
          <m:sSupPr>
            <m:ctrlPr>
              <w:rPr>
                <w:rFonts w:ascii="Cambria Math" w:hAnsi="Cambria Math"/>
                <w:i/>
                <w:sz w:val="28"/>
                <w:szCs w:val="28"/>
              </w:rPr>
            </m:ctrlPr>
          </m:sSupPr>
          <m:e>
            <m:r>
              <w:rPr>
                <w:rFonts w:ascii="Cambria Math" w:hAnsi="Cambria Math"/>
                <w:sz w:val="28"/>
                <w:szCs w:val="28"/>
              </w:rPr>
              <m:t>Д</m:t>
            </m:r>
          </m:e>
          <m:sup>
            <m:r>
              <w:rPr>
                <w:rFonts w:ascii="Cambria Math" w:hAnsi="Cambria Math"/>
                <w:sz w:val="28"/>
                <w:szCs w:val="28"/>
              </w:rPr>
              <m:t>Р</m:t>
            </m:r>
          </m:sup>
        </m:sSup>
        <m:r>
          <m:rPr>
            <m:sty m:val="p"/>
          </m:rPr>
          <w:rPr>
            <w:rFonts w:ascii="Cambria Math" w:hAnsi="Cambria Math"/>
            <w:sz w:val="28"/>
            <w:szCs w:val="28"/>
          </w:rPr>
          <m:t>=</m:t>
        </m:r>
        <m:f>
          <m:fPr>
            <m:ctrlPr>
              <w:rPr>
                <w:rFonts w:ascii="Cambria Math" w:hAnsi="Cambria Math"/>
                <w:sz w:val="28"/>
                <w:szCs w:val="28"/>
              </w:rPr>
            </m:ctrlPr>
          </m:fPr>
          <m:num>
            <m:sSup>
              <m:sSupPr>
                <m:ctrlPr>
                  <w:rPr>
                    <w:rFonts w:ascii="Cambria Math" w:hAnsi="Cambria Math"/>
                    <w:i/>
                    <w:sz w:val="28"/>
                    <w:szCs w:val="28"/>
                  </w:rPr>
                </m:ctrlPr>
              </m:sSupPr>
              <m:e>
                <m:r>
                  <w:rPr>
                    <w:rFonts w:ascii="Cambria Math" w:hAnsi="Cambria Math"/>
                    <w:sz w:val="28"/>
                    <w:szCs w:val="28"/>
                  </w:rPr>
                  <m:t>ИД</m:t>
                </m:r>
              </m:e>
              <m:sup>
                <m:r>
                  <w:rPr>
                    <w:rFonts w:ascii="Cambria Math" w:hAnsi="Cambria Math"/>
                    <w:sz w:val="28"/>
                    <w:szCs w:val="28"/>
                  </w:rPr>
                  <m:t>ПР</m:t>
                </m:r>
              </m:sup>
            </m:sSup>
          </m:num>
          <m:den>
            <m:sSub>
              <m:sSubPr>
                <m:ctrlPr>
                  <w:rPr>
                    <w:rFonts w:ascii="Cambria Math" w:hAnsi="Cambria Math"/>
                    <w:sz w:val="28"/>
                    <w:szCs w:val="28"/>
                  </w:rPr>
                </m:ctrlPr>
              </m:sSubPr>
              <m:e>
                <m:r>
                  <w:rPr>
                    <w:rFonts w:ascii="Cambria Math" w:hAnsi="Cambria Math"/>
                    <w:sz w:val="28"/>
                    <w:szCs w:val="28"/>
                  </w:rPr>
                  <m:t>ПН</m:t>
                </m:r>
              </m:e>
              <m:sub>
                <m:r>
                  <w:rPr>
                    <w:rFonts w:ascii="Cambria Math" w:hAnsi="Cambria Math"/>
                    <w:sz w:val="28"/>
                    <w:szCs w:val="28"/>
                  </w:rPr>
                  <m:t>о</m:t>
                </m:r>
              </m:sub>
            </m:sSub>
          </m:den>
        </m:f>
      </m:oMath>
      <w:r w:rsidRPr="00106428">
        <w:rPr>
          <w:sz w:val="28"/>
          <w:szCs w:val="28"/>
        </w:rPr>
        <w:t>. Показатель характеризует доходность от инвестирования фондом пенсионных резервов.</w:t>
      </w:r>
    </w:p>
    <w:p w14:paraId="1348B7E8" w14:textId="77777777" w:rsidR="00106428" w:rsidRPr="00106428" w:rsidRDefault="00106428" w:rsidP="00106428">
      <w:pPr>
        <w:spacing w:line="360" w:lineRule="auto"/>
        <w:ind w:firstLine="709"/>
        <w:jc w:val="both"/>
        <w:rPr>
          <w:rFonts w:ascii="Times New Roman" w:hAnsi="Times New Roman" w:cs="Times New Roman"/>
          <w:sz w:val="28"/>
          <w:szCs w:val="28"/>
        </w:rPr>
      </w:pPr>
      <w:r w:rsidRPr="00106428">
        <w:rPr>
          <w:rFonts w:ascii="Times New Roman" w:hAnsi="Times New Roman" w:cs="Times New Roman"/>
          <w:sz w:val="28"/>
          <w:szCs w:val="28"/>
        </w:rPr>
        <w:t xml:space="preserve">- </w:t>
      </w:r>
      <m:oMath>
        <m:sSup>
          <m:sSupPr>
            <m:ctrlPr>
              <w:rPr>
                <w:rFonts w:ascii="Cambria Math" w:eastAsia="Times New Roman" w:hAnsi="Cambria Math" w:cs="Times New Roman"/>
                <w:i/>
                <w:sz w:val="28"/>
                <w:szCs w:val="28"/>
                <w:lang w:bidi="ru-RU"/>
              </w:rPr>
            </m:ctrlPr>
          </m:sSupPr>
          <m:e>
            <m:r>
              <w:rPr>
                <w:rFonts w:ascii="Cambria Math" w:hAnsi="Cambria Math" w:cs="Times New Roman"/>
                <w:sz w:val="28"/>
                <w:szCs w:val="28"/>
              </w:rPr>
              <m:t>Р</m:t>
            </m:r>
          </m:e>
          <m:sup>
            <m:r>
              <w:rPr>
                <w:rFonts w:ascii="Cambria Math" w:hAnsi="Cambria Math" w:cs="Times New Roman"/>
                <w:sz w:val="28"/>
                <w:szCs w:val="28"/>
              </w:rPr>
              <m:t xml:space="preserve">ДВ </m:t>
            </m:r>
          </m:sup>
        </m:sSup>
      </m:oMath>
      <w:r w:rsidRPr="00106428">
        <w:rPr>
          <w:rFonts w:ascii="Times New Roman" w:hAnsi="Times New Roman" w:cs="Times New Roman"/>
          <w:sz w:val="28"/>
          <w:szCs w:val="28"/>
        </w:rPr>
        <w:t xml:space="preserve">= </w:t>
      </w:r>
      <m:oMath>
        <m:f>
          <m:fPr>
            <m:ctrlPr>
              <w:rPr>
                <w:rFonts w:ascii="Cambria Math" w:eastAsia="Times New Roman" w:hAnsi="Cambria Math" w:cs="Times New Roman"/>
                <w:sz w:val="28"/>
                <w:szCs w:val="28"/>
                <w:lang w:bidi="ru-RU"/>
              </w:rPr>
            </m:ctrlPr>
          </m:fPr>
          <m:num>
            <m:r>
              <m:rPr>
                <m:sty m:val="p"/>
              </m:rPr>
              <w:rPr>
                <w:rFonts w:ascii="Cambria Math" w:hAnsi="Cambria Math" w:cs="Times New Roman"/>
                <w:sz w:val="28"/>
                <w:szCs w:val="28"/>
              </w:rPr>
              <m:t>ЧП</m:t>
            </m:r>
          </m:num>
          <m:den>
            <m:r>
              <m:rPr>
                <m:sty m:val="p"/>
              </m:rPr>
              <w:rPr>
                <w:rFonts w:ascii="Cambria Math" w:hAnsi="Cambria Math" w:cs="Times New Roman"/>
                <w:sz w:val="28"/>
                <w:szCs w:val="28"/>
              </w:rPr>
              <m:t>ДФВ</m:t>
            </m:r>
          </m:den>
        </m:f>
      </m:oMath>
      <w:r w:rsidRPr="00106428">
        <w:rPr>
          <w:rFonts w:ascii="Times New Roman" w:hAnsi="Times New Roman" w:cs="Times New Roman"/>
          <w:sz w:val="28"/>
          <w:szCs w:val="28"/>
        </w:rPr>
        <w:t>.</w:t>
      </w:r>
      <w:r w:rsidRPr="00106428">
        <w:rPr>
          <w:rFonts w:ascii="Times New Roman" w:hAnsi="Times New Roman" w:cs="Times New Roman"/>
        </w:rPr>
        <w:t xml:space="preserve"> </w:t>
      </w:r>
      <w:r w:rsidRPr="00106428">
        <w:rPr>
          <w:rFonts w:ascii="Times New Roman" w:hAnsi="Times New Roman" w:cs="Times New Roman"/>
          <w:sz w:val="28"/>
          <w:szCs w:val="28"/>
        </w:rPr>
        <w:t>Показывает рентабельность активов долгосрочного характера</w:t>
      </w:r>
    </w:p>
    <w:p w14:paraId="67C4050A" w14:textId="77777777" w:rsidR="00106428" w:rsidRPr="00106428" w:rsidRDefault="00106428" w:rsidP="00106428">
      <w:pPr>
        <w:spacing w:line="360" w:lineRule="auto"/>
        <w:ind w:firstLine="709"/>
        <w:jc w:val="both"/>
        <w:rPr>
          <w:rFonts w:ascii="Times New Roman" w:hAnsi="Times New Roman" w:cs="Times New Roman"/>
          <w:sz w:val="28"/>
          <w:szCs w:val="28"/>
        </w:rPr>
      </w:pPr>
      <w:r w:rsidRPr="00106428">
        <w:rPr>
          <w:rFonts w:ascii="Times New Roman" w:hAnsi="Times New Roman" w:cs="Times New Roman"/>
          <w:sz w:val="28"/>
          <w:szCs w:val="28"/>
        </w:rPr>
        <w:t>-</w:t>
      </w:r>
      <m:oMath>
        <m:sSup>
          <m:sSupPr>
            <m:ctrlPr>
              <w:rPr>
                <w:rFonts w:ascii="Cambria Math" w:eastAsia="Times New Roman" w:hAnsi="Cambria Math" w:cs="Times New Roman"/>
                <w:i/>
                <w:sz w:val="28"/>
                <w:szCs w:val="28"/>
                <w:lang w:bidi="ru-RU"/>
              </w:rPr>
            </m:ctrlPr>
          </m:sSupPr>
          <m:e>
            <m:r>
              <w:rPr>
                <w:rFonts w:ascii="Cambria Math" w:hAnsi="Cambria Math" w:cs="Times New Roman"/>
                <w:sz w:val="28"/>
                <w:szCs w:val="28"/>
              </w:rPr>
              <m:t xml:space="preserve"> Р</m:t>
            </m:r>
          </m:e>
          <m:sup>
            <m:r>
              <w:rPr>
                <w:rFonts w:ascii="Cambria Math" w:hAnsi="Cambria Math" w:cs="Times New Roman"/>
                <w:sz w:val="28"/>
                <w:szCs w:val="28"/>
              </w:rPr>
              <m:t xml:space="preserve">КВ </m:t>
            </m:r>
          </m:sup>
        </m:sSup>
      </m:oMath>
      <w:r w:rsidRPr="00106428">
        <w:rPr>
          <w:rFonts w:ascii="Times New Roman" w:hAnsi="Times New Roman" w:cs="Times New Roman"/>
          <w:sz w:val="28"/>
          <w:szCs w:val="28"/>
        </w:rPr>
        <w:t xml:space="preserve">= </w:t>
      </w:r>
      <m:oMath>
        <m:f>
          <m:fPr>
            <m:ctrlPr>
              <w:rPr>
                <w:rFonts w:ascii="Cambria Math" w:eastAsia="Times New Roman" w:hAnsi="Cambria Math" w:cs="Times New Roman"/>
                <w:sz w:val="28"/>
                <w:szCs w:val="28"/>
                <w:lang w:bidi="ru-RU"/>
              </w:rPr>
            </m:ctrlPr>
          </m:fPr>
          <m:num>
            <m:r>
              <m:rPr>
                <m:sty m:val="p"/>
              </m:rPr>
              <w:rPr>
                <w:rFonts w:ascii="Cambria Math" w:hAnsi="Cambria Math" w:cs="Times New Roman"/>
                <w:sz w:val="28"/>
                <w:szCs w:val="28"/>
              </w:rPr>
              <m:t>ЧП</m:t>
            </m:r>
          </m:num>
          <m:den>
            <m:r>
              <m:rPr>
                <m:sty m:val="p"/>
              </m:rPr>
              <w:rPr>
                <w:rFonts w:ascii="Cambria Math" w:hAnsi="Cambria Math" w:cs="Times New Roman"/>
                <w:sz w:val="28"/>
                <w:szCs w:val="28"/>
              </w:rPr>
              <m:t>ДЗ+КФВ+ДС</m:t>
            </m:r>
          </m:den>
        </m:f>
      </m:oMath>
      <w:r w:rsidRPr="00106428">
        <w:rPr>
          <w:rFonts w:ascii="Times New Roman" w:hAnsi="Times New Roman" w:cs="Times New Roman"/>
          <w:sz w:val="28"/>
          <w:szCs w:val="28"/>
        </w:rPr>
        <w:t>. Показатель оценивает рентабельность краткосрочных активов.</w:t>
      </w:r>
    </w:p>
    <w:p w14:paraId="66022E97" w14:textId="77777777" w:rsidR="00106428" w:rsidRPr="00106428" w:rsidRDefault="00106428" w:rsidP="00106428">
      <w:pPr>
        <w:spacing w:line="360" w:lineRule="auto"/>
        <w:ind w:firstLine="709"/>
        <w:jc w:val="both"/>
        <w:rPr>
          <w:rFonts w:ascii="Times New Roman" w:hAnsi="Times New Roman" w:cs="Times New Roman"/>
          <w:sz w:val="28"/>
          <w:szCs w:val="28"/>
        </w:rPr>
      </w:pPr>
      <w:r w:rsidRPr="00106428">
        <w:rPr>
          <w:rFonts w:ascii="Times New Roman" w:hAnsi="Times New Roman" w:cs="Times New Roman"/>
          <w:sz w:val="28"/>
          <w:szCs w:val="28"/>
        </w:rPr>
        <w:t xml:space="preserve">- </w:t>
      </w:r>
      <m:oMath>
        <m:sSup>
          <m:sSupPr>
            <m:ctrlPr>
              <w:rPr>
                <w:rFonts w:ascii="Cambria Math" w:eastAsia="Times New Roman" w:hAnsi="Cambria Math" w:cs="Times New Roman"/>
                <w:i/>
                <w:sz w:val="28"/>
                <w:szCs w:val="28"/>
                <w:lang w:bidi="ru-RU"/>
              </w:rPr>
            </m:ctrlPr>
          </m:sSupPr>
          <m:e>
            <m:r>
              <w:rPr>
                <w:rFonts w:ascii="Cambria Math" w:hAnsi="Cambria Math" w:cs="Times New Roman"/>
                <w:sz w:val="28"/>
                <w:szCs w:val="28"/>
              </w:rPr>
              <m:t xml:space="preserve"> ОБ</m:t>
            </m:r>
          </m:e>
          <m:sup>
            <m:r>
              <w:rPr>
                <w:rFonts w:ascii="Cambria Math" w:hAnsi="Cambria Math" w:cs="Times New Roman"/>
                <w:sz w:val="28"/>
                <w:szCs w:val="28"/>
              </w:rPr>
              <m:t xml:space="preserve">ДВ </m:t>
            </m:r>
          </m:sup>
        </m:sSup>
        <m:r>
          <w:rPr>
            <w:rFonts w:ascii="Cambria Math" w:hAnsi="Cambria Math" w:cs="Times New Roman"/>
            <w:sz w:val="28"/>
            <w:szCs w:val="28"/>
          </w:rPr>
          <m:t xml:space="preserve">= </m:t>
        </m:r>
        <m:f>
          <m:fPr>
            <m:ctrlPr>
              <w:rPr>
                <w:rFonts w:ascii="Cambria Math" w:eastAsia="Times New Roman" w:hAnsi="Cambria Math" w:cs="Times New Roman"/>
                <w:sz w:val="28"/>
                <w:szCs w:val="28"/>
                <w:lang w:bidi="ru-RU"/>
              </w:rPr>
            </m:ctrlPr>
          </m:fPr>
          <m:num>
            <m:r>
              <w:rPr>
                <w:rFonts w:ascii="Cambria Math" w:hAnsi="Cambria Math" w:cs="Times New Roman"/>
                <w:sz w:val="28"/>
                <w:szCs w:val="28"/>
              </w:rPr>
              <m:t>Дох</m:t>
            </m:r>
          </m:num>
          <m:den>
            <m:r>
              <m:rPr>
                <m:sty m:val="p"/>
              </m:rPr>
              <w:rPr>
                <w:rFonts w:ascii="Cambria Math" w:hAnsi="Cambria Math" w:cs="Times New Roman"/>
                <w:sz w:val="28"/>
                <w:szCs w:val="28"/>
              </w:rPr>
              <m:t>ДФП</m:t>
            </m:r>
          </m:den>
        </m:f>
      </m:oMath>
      <w:r w:rsidRPr="00106428">
        <w:rPr>
          <w:rFonts w:ascii="Times New Roman" w:hAnsi="Times New Roman" w:cs="Times New Roman"/>
          <w:sz w:val="28"/>
          <w:szCs w:val="28"/>
        </w:rPr>
        <w:t>. Показатель характеризует оборачиваемость долгосрочных вложений.</w:t>
      </w:r>
    </w:p>
    <w:p w14:paraId="7CC24E83" w14:textId="77777777" w:rsidR="00106428" w:rsidRPr="00106428" w:rsidRDefault="00106428" w:rsidP="00106428">
      <w:pPr>
        <w:spacing w:line="360" w:lineRule="auto"/>
        <w:ind w:firstLine="709"/>
        <w:jc w:val="both"/>
        <w:rPr>
          <w:rFonts w:ascii="Times New Roman" w:hAnsi="Times New Roman" w:cs="Times New Roman"/>
          <w:sz w:val="28"/>
        </w:rPr>
      </w:pPr>
      <w:r w:rsidRPr="00106428">
        <w:rPr>
          <w:rFonts w:ascii="Times New Roman" w:hAnsi="Times New Roman" w:cs="Times New Roman"/>
          <w:sz w:val="28"/>
          <w:szCs w:val="28"/>
        </w:rPr>
        <w:t xml:space="preserve">- </w:t>
      </w:r>
      <m:oMath>
        <m:sSup>
          <m:sSupPr>
            <m:ctrlPr>
              <w:rPr>
                <w:rFonts w:ascii="Cambria Math" w:eastAsia="Times New Roman" w:hAnsi="Cambria Math" w:cs="Times New Roman"/>
                <w:i/>
                <w:sz w:val="28"/>
                <w:szCs w:val="28"/>
                <w:lang w:bidi="ru-RU"/>
              </w:rPr>
            </m:ctrlPr>
          </m:sSupPr>
          <m:e>
            <m:r>
              <w:rPr>
                <w:rFonts w:ascii="Cambria Math" w:hAnsi="Cambria Math" w:cs="Times New Roman"/>
                <w:sz w:val="28"/>
                <w:szCs w:val="28"/>
              </w:rPr>
              <m:t xml:space="preserve"> ОБ</m:t>
            </m:r>
          </m:e>
          <m:sup>
            <m:r>
              <w:rPr>
                <w:rFonts w:ascii="Cambria Math" w:hAnsi="Cambria Math" w:cs="Times New Roman"/>
                <w:sz w:val="28"/>
                <w:szCs w:val="28"/>
              </w:rPr>
              <m:t xml:space="preserve">КВ </m:t>
            </m:r>
          </m:sup>
        </m:sSup>
        <m:r>
          <w:rPr>
            <w:rFonts w:ascii="Cambria Math" w:hAnsi="Cambria Math" w:cs="Times New Roman"/>
            <w:sz w:val="28"/>
            <w:szCs w:val="28"/>
          </w:rPr>
          <m:t>=</m:t>
        </m:r>
        <m:f>
          <m:fPr>
            <m:ctrlPr>
              <w:rPr>
                <w:rFonts w:ascii="Cambria Math" w:eastAsia="Times New Roman" w:hAnsi="Cambria Math" w:cs="Times New Roman"/>
                <w:sz w:val="28"/>
                <w:szCs w:val="28"/>
                <w:lang w:bidi="ru-RU"/>
              </w:rPr>
            </m:ctrlPr>
          </m:fPr>
          <m:num>
            <m:r>
              <w:rPr>
                <w:rFonts w:ascii="Cambria Math" w:hAnsi="Cambria Math" w:cs="Times New Roman"/>
                <w:sz w:val="28"/>
                <w:szCs w:val="28"/>
              </w:rPr>
              <m:t>Дох</m:t>
            </m:r>
          </m:num>
          <m:den>
            <m:acc>
              <m:accPr>
                <m:chr m:val="̅"/>
                <m:ctrlPr>
                  <w:rPr>
                    <w:rFonts w:ascii="Cambria Math" w:eastAsia="Times New Roman" w:hAnsi="Cambria Math" w:cs="Times New Roman"/>
                    <w:sz w:val="28"/>
                    <w:szCs w:val="28"/>
                    <w:lang w:bidi="ru-RU"/>
                  </w:rPr>
                </m:ctrlPr>
              </m:accPr>
              <m:e>
                <m:r>
                  <w:rPr>
                    <w:rFonts w:ascii="Cambria Math" w:hAnsi="Cambria Math" w:cs="Times New Roman"/>
                    <w:sz w:val="28"/>
                    <w:szCs w:val="28"/>
                  </w:rPr>
                  <m:t>ДЗ+КФВ+ДС</m:t>
                </m:r>
              </m:e>
            </m:acc>
          </m:den>
        </m:f>
      </m:oMath>
      <w:r w:rsidRPr="00106428">
        <w:rPr>
          <w:rFonts w:ascii="Times New Roman" w:hAnsi="Times New Roman" w:cs="Times New Roman"/>
          <w:sz w:val="28"/>
          <w:szCs w:val="28"/>
        </w:rPr>
        <w:t xml:space="preserve">. </w:t>
      </w:r>
      <w:r w:rsidRPr="00106428">
        <w:rPr>
          <w:rFonts w:ascii="Times New Roman" w:hAnsi="Times New Roman" w:cs="Times New Roman"/>
          <w:sz w:val="28"/>
        </w:rPr>
        <w:t>Показывает оборачиваемость краткосрочных активов.</w:t>
      </w:r>
    </w:p>
    <w:p w14:paraId="454AFADD" w14:textId="77777777" w:rsidR="00106428" w:rsidRPr="00106428" w:rsidRDefault="00106428" w:rsidP="00106428">
      <w:pPr>
        <w:spacing w:line="360" w:lineRule="auto"/>
        <w:ind w:firstLine="709"/>
        <w:jc w:val="both"/>
        <w:rPr>
          <w:rFonts w:ascii="Times New Roman" w:hAnsi="Times New Roman" w:cs="Times New Roman"/>
          <w:sz w:val="28"/>
          <w:szCs w:val="28"/>
        </w:rPr>
      </w:pPr>
      <w:r w:rsidRPr="00106428">
        <w:rPr>
          <w:rFonts w:ascii="Times New Roman" w:hAnsi="Times New Roman" w:cs="Times New Roman"/>
          <w:sz w:val="28"/>
          <w:szCs w:val="28"/>
        </w:rPr>
        <w:t xml:space="preserve">- </w:t>
      </w:r>
      <w:proofErr w:type="spellStart"/>
      <w:r w:rsidRPr="00106428">
        <w:rPr>
          <w:rFonts w:ascii="Times New Roman" w:hAnsi="Times New Roman" w:cs="Times New Roman"/>
          <w:sz w:val="28"/>
          <w:szCs w:val="28"/>
        </w:rPr>
        <w:t>Рдеят</w:t>
      </w:r>
      <w:proofErr w:type="spellEnd"/>
      <w:r w:rsidRPr="00106428">
        <w:rPr>
          <w:rFonts w:ascii="Times New Roman" w:hAnsi="Times New Roman" w:cs="Times New Roman"/>
          <w:sz w:val="28"/>
          <w:szCs w:val="28"/>
        </w:rPr>
        <w:t xml:space="preserve"> = </w:t>
      </w:r>
      <m:oMath>
        <m:f>
          <m:fPr>
            <m:ctrlPr>
              <w:rPr>
                <w:rFonts w:ascii="Cambria Math" w:eastAsia="Times New Roman" w:hAnsi="Cambria Math" w:cs="Times New Roman"/>
                <w:sz w:val="28"/>
                <w:szCs w:val="28"/>
                <w:lang w:bidi="ru-RU"/>
              </w:rPr>
            </m:ctrlPr>
          </m:fPr>
          <m:num>
            <m:r>
              <w:rPr>
                <w:rFonts w:ascii="Cambria Math" w:hAnsi="Cambria Math" w:cs="Times New Roman"/>
                <w:sz w:val="28"/>
                <w:szCs w:val="28"/>
              </w:rPr>
              <m:t>ЧП</m:t>
            </m:r>
          </m:num>
          <m:den>
            <m:r>
              <m:rPr>
                <m:sty m:val="p"/>
              </m:rPr>
              <w:rPr>
                <w:rFonts w:ascii="Cambria Math" w:hAnsi="Cambria Math" w:cs="Times New Roman"/>
                <w:sz w:val="28"/>
                <w:szCs w:val="28"/>
              </w:rPr>
              <m:t>Дох</m:t>
            </m:r>
          </m:den>
        </m:f>
      </m:oMath>
      <w:r w:rsidRPr="00106428">
        <w:rPr>
          <w:rFonts w:ascii="Times New Roman" w:hAnsi="Times New Roman" w:cs="Times New Roman"/>
          <w:sz w:val="28"/>
          <w:szCs w:val="28"/>
        </w:rPr>
        <w:t xml:space="preserve">. </w:t>
      </w:r>
      <w:r w:rsidRPr="00106428">
        <w:rPr>
          <w:rFonts w:ascii="Times New Roman" w:hAnsi="Times New Roman" w:cs="Times New Roman"/>
          <w:sz w:val="28"/>
        </w:rPr>
        <w:t>Отражает эффективность деятельности НПФ</w:t>
      </w:r>
    </w:p>
    <w:p w14:paraId="6886D31D" w14:textId="77777777" w:rsidR="00106428" w:rsidRPr="00106428" w:rsidRDefault="00106428" w:rsidP="00106428">
      <w:pPr>
        <w:spacing w:line="360" w:lineRule="auto"/>
        <w:ind w:firstLine="709"/>
        <w:jc w:val="both"/>
        <w:rPr>
          <w:rFonts w:ascii="Times New Roman" w:hAnsi="Times New Roman" w:cs="Times New Roman"/>
          <w:sz w:val="28"/>
          <w:szCs w:val="28"/>
        </w:rPr>
      </w:pPr>
      <w:r w:rsidRPr="00106428">
        <w:rPr>
          <w:rFonts w:ascii="Times New Roman" w:hAnsi="Times New Roman" w:cs="Times New Roman"/>
          <w:sz w:val="28"/>
          <w:szCs w:val="28"/>
        </w:rPr>
        <w:t xml:space="preserve">- </w:t>
      </w:r>
      <w:proofErr w:type="spellStart"/>
      <w:r w:rsidRPr="00106428">
        <w:rPr>
          <w:rFonts w:ascii="Times New Roman" w:hAnsi="Times New Roman" w:cs="Times New Roman"/>
          <w:sz w:val="28"/>
          <w:szCs w:val="28"/>
        </w:rPr>
        <w:t>Ракт</w:t>
      </w:r>
      <w:proofErr w:type="spellEnd"/>
      <w:r w:rsidRPr="00106428">
        <w:rPr>
          <w:rFonts w:ascii="Times New Roman" w:hAnsi="Times New Roman" w:cs="Times New Roman"/>
          <w:sz w:val="28"/>
          <w:szCs w:val="28"/>
        </w:rPr>
        <w:t xml:space="preserve"> = </w:t>
      </w:r>
      <m:oMath>
        <m:f>
          <m:fPr>
            <m:ctrlPr>
              <w:rPr>
                <w:rFonts w:ascii="Cambria Math" w:eastAsia="Times New Roman" w:hAnsi="Cambria Math" w:cs="Times New Roman"/>
                <w:sz w:val="28"/>
                <w:szCs w:val="28"/>
                <w:lang w:bidi="ru-RU"/>
              </w:rPr>
            </m:ctrlPr>
          </m:fPr>
          <m:num>
            <m:r>
              <w:rPr>
                <w:rFonts w:ascii="Cambria Math" w:hAnsi="Cambria Math" w:cs="Times New Roman"/>
                <w:sz w:val="28"/>
                <w:szCs w:val="28"/>
              </w:rPr>
              <m:t>ЧП</m:t>
            </m:r>
          </m:num>
          <m:den>
            <m:acc>
              <m:accPr>
                <m:chr m:val="̅"/>
                <m:ctrlPr>
                  <w:rPr>
                    <w:rFonts w:ascii="Cambria Math" w:eastAsia="Times New Roman" w:hAnsi="Cambria Math" w:cs="Times New Roman"/>
                    <w:i/>
                    <w:sz w:val="28"/>
                    <w:szCs w:val="28"/>
                    <w:lang w:bidi="ru-RU"/>
                  </w:rPr>
                </m:ctrlPr>
              </m:accPr>
              <m:e>
                <m:r>
                  <w:rPr>
                    <w:rFonts w:ascii="Cambria Math" w:hAnsi="Cambria Math" w:cs="Times New Roman"/>
                    <w:sz w:val="28"/>
                    <w:szCs w:val="28"/>
                  </w:rPr>
                  <m:t>Акт</m:t>
                </m:r>
              </m:e>
            </m:acc>
          </m:den>
        </m:f>
      </m:oMath>
      <w:r w:rsidRPr="00106428">
        <w:rPr>
          <w:rFonts w:ascii="Times New Roman" w:hAnsi="Times New Roman" w:cs="Times New Roman"/>
          <w:sz w:val="28"/>
          <w:szCs w:val="28"/>
        </w:rPr>
        <w:t xml:space="preserve"> . Оценивает отдачу вложенных в деятельность средств фондов.</w:t>
      </w:r>
    </w:p>
    <w:p w14:paraId="175DEFC8" w14:textId="77777777" w:rsidR="00106428" w:rsidRPr="00106428" w:rsidRDefault="00000000" w:rsidP="00106428">
      <w:pPr>
        <w:spacing w:after="0" w:line="360" w:lineRule="auto"/>
        <w:ind w:firstLine="709"/>
        <w:jc w:val="both"/>
        <w:rPr>
          <w:rFonts w:ascii="Times New Roman" w:hAnsi="Times New Roman" w:cs="Times New Roman"/>
          <w:sz w:val="28"/>
          <w:szCs w:val="28"/>
        </w:rPr>
      </w:pPr>
      <m:oMath>
        <m:sSup>
          <m:sSupPr>
            <m:ctrlPr>
              <w:rPr>
                <w:rFonts w:ascii="Cambria Math" w:eastAsia="Times New Roman" w:hAnsi="Cambria Math" w:cs="Times New Roman"/>
                <w:i/>
                <w:sz w:val="28"/>
                <w:szCs w:val="28"/>
                <w:lang w:bidi="ru-RU"/>
              </w:rPr>
            </m:ctrlPr>
          </m:sSupPr>
          <m:e>
            <m:r>
              <w:rPr>
                <w:rFonts w:ascii="Cambria Math" w:hAnsi="Cambria Math" w:cs="Times New Roman"/>
                <w:sz w:val="28"/>
                <w:szCs w:val="28"/>
              </w:rPr>
              <m:t>Д</m:t>
            </m:r>
          </m:e>
          <m:sup>
            <m:r>
              <w:rPr>
                <w:rFonts w:ascii="Cambria Math" w:hAnsi="Cambria Math" w:cs="Times New Roman"/>
                <w:sz w:val="28"/>
                <w:szCs w:val="28"/>
              </w:rPr>
              <m:t>Н</m:t>
            </m:r>
          </m:sup>
        </m:sSup>
      </m:oMath>
      <w:r w:rsidR="00106428" w:rsidRPr="00106428">
        <w:rPr>
          <w:rFonts w:ascii="Times New Roman" w:hAnsi="Times New Roman" w:cs="Times New Roman"/>
          <w:sz w:val="28"/>
          <w:szCs w:val="28"/>
        </w:rPr>
        <w:t xml:space="preserve">– годовая доходность от инвестирования пенсионных накоплений; </w:t>
      </w:r>
      <m:oMath>
        <m:sSup>
          <m:sSupPr>
            <m:ctrlPr>
              <w:rPr>
                <w:rFonts w:ascii="Cambria Math" w:eastAsia="Times New Roman" w:hAnsi="Cambria Math" w:cs="Times New Roman"/>
                <w:i/>
                <w:sz w:val="28"/>
                <w:szCs w:val="28"/>
                <w:lang w:bidi="ru-RU"/>
              </w:rPr>
            </m:ctrlPr>
          </m:sSupPr>
          <m:e>
            <m:r>
              <w:rPr>
                <w:rFonts w:ascii="Cambria Math" w:hAnsi="Cambria Math" w:cs="Times New Roman"/>
                <w:sz w:val="28"/>
                <w:szCs w:val="28"/>
              </w:rPr>
              <m:t>Д</m:t>
            </m:r>
          </m:e>
          <m:sup>
            <m:r>
              <w:rPr>
                <w:rFonts w:ascii="Cambria Math" w:hAnsi="Cambria Math" w:cs="Times New Roman"/>
                <w:sz w:val="28"/>
                <w:szCs w:val="28"/>
              </w:rPr>
              <m:t>Р</m:t>
            </m:r>
          </m:sup>
        </m:sSup>
      </m:oMath>
      <w:r w:rsidR="00106428" w:rsidRPr="00106428">
        <w:rPr>
          <w:rFonts w:ascii="Times New Roman" w:hAnsi="Times New Roman" w:cs="Times New Roman"/>
          <w:sz w:val="28"/>
          <w:szCs w:val="28"/>
        </w:rPr>
        <w:t xml:space="preserve">– годовая доходность от инвестирования пенсионных резервов; ПН – пенсионные накопления; ПР – пенсионные резервы;  </w:t>
      </w:r>
      <m:oMath>
        <m:sSup>
          <m:sSupPr>
            <m:ctrlPr>
              <w:rPr>
                <w:rFonts w:ascii="Cambria Math" w:eastAsia="Times New Roman" w:hAnsi="Cambria Math" w:cs="Times New Roman"/>
                <w:i/>
                <w:sz w:val="28"/>
                <w:szCs w:val="28"/>
                <w:lang w:bidi="ru-RU"/>
              </w:rPr>
            </m:ctrlPr>
          </m:sSupPr>
          <m:e>
            <m:r>
              <w:rPr>
                <w:rFonts w:ascii="Cambria Math" w:hAnsi="Cambria Math" w:cs="Times New Roman"/>
                <w:sz w:val="28"/>
                <w:szCs w:val="28"/>
              </w:rPr>
              <m:t>ИД</m:t>
            </m:r>
          </m:e>
          <m:sup>
            <m:r>
              <w:rPr>
                <w:rFonts w:ascii="Cambria Math" w:hAnsi="Cambria Math" w:cs="Times New Roman"/>
                <w:sz w:val="28"/>
                <w:szCs w:val="28"/>
              </w:rPr>
              <m:t>ПН</m:t>
            </m:r>
          </m:sup>
        </m:sSup>
      </m:oMath>
      <w:r w:rsidR="00106428" w:rsidRPr="00106428">
        <w:rPr>
          <w:rFonts w:ascii="Times New Roman" w:hAnsi="Times New Roman" w:cs="Times New Roman"/>
          <w:sz w:val="28"/>
          <w:szCs w:val="28"/>
        </w:rPr>
        <w:t xml:space="preserve">– инвестиционный доход, полученный в результате вложения пенсионных накоплений; </w:t>
      </w:r>
      <m:oMath>
        <m:sSup>
          <m:sSupPr>
            <m:ctrlPr>
              <w:rPr>
                <w:rFonts w:ascii="Cambria Math" w:eastAsia="Times New Roman" w:hAnsi="Cambria Math" w:cs="Times New Roman"/>
                <w:i/>
                <w:sz w:val="28"/>
                <w:szCs w:val="28"/>
                <w:lang w:bidi="ru-RU"/>
              </w:rPr>
            </m:ctrlPr>
          </m:sSupPr>
          <m:e>
            <m:r>
              <w:rPr>
                <w:rFonts w:ascii="Cambria Math" w:hAnsi="Cambria Math" w:cs="Times New Roman"/>
                <w:sz w:val="28"/>
                <w:szCs w:val="28"/>
              </w:rPr>
              <m:t>ИД</m:t>
            </m:r>
          </m:e>
          <m:sup>
            <m:r>
              <w:rPr>
                <w:rFonts w:ascii="Cambria Math" w:hAnsi="Cambria Math" w:cs="Times New Roman"/>
                <w:sz w:val="28"/>
                <w:szCs w:val="28"/>
              </w:rPr>
              <m:t>ПР</m:t>
            </m:r>
          </m:sup>
        </m:sSup>
      </m:oMath>
      <w:r w:rsidR="00106428" w:rsidRPr="00106428">
        <w:rPr>
          <w:rFonts w:ascii="Times New Roman" w:hAnsi="Times New Roman" w:cs="Times New Roman"/>
          <w:sz w:val="28"/>
          <w:szCs w:val="28"/>
        </w:rPr>
        <w:t xml:space="preserve"> – </w:t>
      </w:r>
      <w:r w:rsidR="00106428" w:rsidRPr="00106428">
        <w:rPr>
          <w:rFonts w:ascii="Times New Roman" w:hAnsi="Times New Roman" w:cs="Times New Roman"/>
          <w:sz w:val="28"/>
          <w:szCs w:val="28"/>
        </w:rPr>
        <w:lastRenderedPageBreak/>
        <w:t>инвестиционный доход, полученный в результате вложения пенсионных резервов; ДЗ – дебиторская задолженность; КФВ – краткосрочные финансовые вложения; ДФВ – долгосрочные финансовые вложения; ДС – денежные средства; Дох – величина совокупного дохода НПФ; Акт – величина активов НПФ; ЧП – чистая прибыль.</w:t>
      </w:r>
    </w:p>
    <w:p w14:paraId="09C482E2" w14:textId="77777777" w:rsidR="00106428" w:rsidRPr="00106428" w:rsidRDefault="00106428" w:rsidP="00106428">
      <w:pPr>
        <w:spacing w:after="0" w:line="360" w:lineRule="auto"/>
        <w:ind w:firstLine="709"/>
        <w:jc w:val="both"/>
        <w:rPr>
          <w:rFonts w:ascii="Times New Roman" w:hAnsi="Times New Roman" w:cs="Times New Roman"/>
          <w:sz w:val="28"/>
        </w:rPr>
      </w:pPr>
      <w:r w:rsidRPr="00106428">
        <w:rPr>
          <w:rFonts w:ascii="Times New Roman" w:hAnsi="Times New Roman" w:cs="Times New Roman"/>
          <w:sz w:val="28"/>
        </w:rPr>
        <w:t>Изучив различные методики оценки эффективности деятельности НПФ, можно сделать следующие выводы. Все авторы сходятся во мнении, что деятельность НПФ нужно оценивать не только с точки зрения эффективности инвестиционной деятельности, но и с точки зрения финансовой устойчивости. Мы считаем, что наиболее убедительной является точка зрения Новикова А.В. В ней предлагается оценить качество управления располагаемыми ресурсами, в результате чего можно оценить социальную пользу НПФ для граждан. В результате оценки результата приращения данных ресурсов по итогам инвестиционной деятельности можно оценить эффективность НПФ как инвестора или оценить эффективность УК. Кроме того, данные необходимые для проведения анализа являются публичными, а расчет показателей не является сложным.</w:t>
      </w:r>
    </w:p>
    <w:p w14:paraId="52DDC68E" w14:textId="77777777" w:rsidR="00106428" w:rsidRPr="00106428" w:rsidRDefault="00106428" w:rsidP="00106428">
      <w:pPr>
        <w:spacing w:after="0" w:line="360" w:lineRule="auto"/>
        <w:ind w:firstLine="709"/>
        <w:jc w:val="both"/>
        <w:rPr>
          <w:rFonts w:ascii="Times New Roman" w:hAnsi="Times New Roman" w:cs="Times New Roman"/>
          <w:sz w:val="28"/>
        </w:rPr>
      </w:pPr>
      <w:r w:rsidRPr="00106428">
        <w:rPr>
          <w:rFonts w:ascii="Times New Roman" w:hAnsi="Times New Roman" w:cs="Times New Roman"/>
          <w:sz w:val="28"/>
        </w:rPr>
        <w:t>Недостатком этой методики является отсутствие расчета выполнения нормативов, предъявляемых ЦБ РФ.</w:t>
      </w:r>
    </w:p>
    <w:p w14:paraId="2117271B" w14:textId="77777777" w:rsidR="00106428" w:rsidRPr="00106428" w:rsidRDefault="00106428" w:rsidP="00106428">
      <w:pPr>
        <w:spacing w:after="0" w:line="360" w:lineRule="auto"/>
        <w:ind w:firstLine="709"/>
        <w:jc w:val="both"/>
        <w:rPr>
          <w:rFonts w:ascii="Times New Roman" w:hAnsi="Times New Roman" w:cs="Times New Roman"/>
          <w:sz w:val="28"/>
        </w:rPr>
      </w:pPr>
      <w:r w:rsidRPr="00106428">
        <w:rPr>
          <w:rFonts w:ascii="Times New Roman" w:hAnsi="Times New Roman" w:cs="Times New Roman"/>
          <w:sz w:val="28"/>
        </w:rPr>
        <w:t>Таким образом, написание литературного обзора позволило отметить, что до сих в России имеются противоречия по поводу определения понятия НПФ. Изменение ФЗ, регулирующего деятельность этих фондов, уменьшило количество разногласий. Однако, единой формулировки понятия НПФ до сих пор нет. Кроме того, продолжаются дискуссии по поводу функций этих организаций.</w:t>
      </w:r>
    </w:p>
    <w:p w14:paraId="1043F168" w14:textId="77777777" w:rsidR="00106428" w:rsidRPr="00106428" w:rsidRDefault="00106428" w:rsidP="00106428">
      <w:pPr>
        <w:spacing w:line="360" w:lineRule="auto"/>
        <w:ind w:firstLine="709"/>
        <w:jc w:val="both"/>
        <w:rPr>
          <w:rFonts w:ascii="Times New Roman" w:hAnsi="Times New Roman" w:cs="Times New Roman"/>
          <w:sz w:val="28"/>
        </w:rPr>
      </w:pPr>
      <w:r w:rsidRPr="00106428">
        <w:rPr>
          <w:rFonts w:ascii="Times New Roman" w:hAnsi="Times New Roman" w:cs="Times New Roman"/>
          <w:sz w:val="28"/>
        </w:rPr>
        <w:t>Изучение различных подходов к оценке деятельности НПФ позволило определить основные критерии, по которым можно оценить эффективность этих организаций: сравнение накопленной доходности за несколько лет с накопленной инфляцией, сравнение накопленной доходности НПФ и ПФР, объем пенсионных накоплений и пенсионных резервов.</w:t>
      </w:r>
    </w:p>
    <w:p w14:paraId="1990D7E8" w14:textId="77777777" w:rsidR="00106428" w:rsidRPr="00106428" w:rsidRDefault="00106428" w:rsidP="00106428">
      <w:pPr>
        <w:spacing w:line="360" w:lineRule="auto"/>
        <w:ind w:firstLine="709"/>
        <w:jc w:val="both"/>
        <w:rPr>
          <w:rFonts w:ascii="Times New Roman" w:hAnsi="Times New Roman" w:cs="Times New Roman"/>
          <w:sz w:val="28"/>
        </w:rPr>
      </w:pPr>
      <w:r w:rsidRPr="00106428">
        <w:rPr>
          <w:rFonts w:ascii="Times New Roman" w:hAnsi="Times New Roman" w:cs="Times New Roman"/>
          <w:sz w:val="28"/>
        </w:rPr>
        <w:lastRenderedPageBreak/>
        <w:t>Анализ различных методик оценки эффективности деятельности НПФ позволил определить требования, предъявляемые к показателям, которые будут использованы при анализе. Важно, чтобы данные, используемые при расчете показателей были публичными, а расчет показателей не являлся очень сложным. Кроме того, было отмечено, что методика оценки эффективности деятельности НПФ должна включать выполнение требований ЦБ РФ.</w:t>
      </w:r>
    </w:p>
    <w:p w14:paraId="64B7B0CD" w14:textId="77777777" w:rsidR="00106428" w:rsidRPr="00106428" w:rsidRDefault="00106428" w:rsidP="00106428">
      <w:pPr>
        <w:spacing w:line="360" w:lineRule="auto"/>
        <w:ind w:firstLine="709"/>
        <w:jc w:val="both"/>
        <w:rPr>
          <w:rFonts w:ascii="Times New Roman" w:hAnsi="Times New Roman" w:cs="Times New Roman"/>
          <w:sz w:val="28"/>
        </w:rPr>
      </w:pPr>
      <w:r w:rsidRPr="00106428">
        <w:rPr>
          <w:rFonts w:ascii="Times New Roman" w:hAnsi="Times New Roman" w:cs="Times New Roman"/>
          <w:sz w:val="28"/>
        </w:rPr>
        <w:br w:type="page"/>
      </w:r>
    </w:p>
    <w:p w14:paraId="76069A49" w14:textId="77777777" w:rsidR="00106428" w:rsidRPr="00106428" w:rsidRDefault="00106428" w:rsidP="00106428">
      <w:pPr>
        <w:spacing w:line="360" w:lineRule="auto"/>
        <w:ind w:firstLine="709"/>
        <w:jc w:val="center"/>
        <w:rPr>
          <w:rFonts w:ascii="Times New Roman" w:hAnsi="Times New Roman" w:cs="Times New Roman"/>
          <w:b/>
          <w:sz w:val="28"/>
        </w:rPr>
      </w:pPr>
      <w:r w:rsidRPr="00106428">
        <w:rPr>
          <w:rFonts w:ascii="Times New Roman" w:hAnsi="Times New Roman" w:cs="Times New Roman"/>
          <w:b/>
          <w:sz w:val="28"/>
        </w:rPr>
        <w:lastRenderedPageBreak/>
        <w:t>СПИСОК ИСПОЛЬЗОВАННЫХ ИСТОЧНИКОВ</w:t>
      </w:r>
    </w:p>
    <w:p w14:paraId="7659DF59" w14:textId="77777777" w:rsidR="00106428" w:rsidRPr="00106428" w:rsidRDefault="00106428" w:rsidP="00106428">
      <w:pPr>
        <w:pStyle w:val="a5"/>
        <w:numPr>
          <w:ilvl w:val="0"/>
          <w:numId w:val="9"/>
        </w:numPr>
        <w:spacing w:line="360" w:lineRule="auto"/>
        <w:ind w:left="0" w:firstLine="709"/>
        <w:jc w:val="both"/>
        <w:rPr>
          <w:sz w:val="28"/>
        </w:rPr>
      </w:pPr>
      <w:r w:rsidRPr="00106428">
        <w:rPr>
          <w:sz w:val="28"/>
        </w:rPr>
        <w:t>Андросова Л.Д. Негосударственные пенсионные фонды в современной финансовой системе России // Инновационная наука. - 2017 –с.120-125</w:t>
      </w:r>
    </w:p>
    <w:p w14:paraId="70DA4AD9" w14:textId="77777777" w:rsidR="00106428" w:rsidRPr="00106428" w:rsidRDefault="00106428" w:rsidP="00106428">
      <w:pPr>
        <w:pStyle w:val="a5"/>
        <w:numPr>
          <w:ilvl w:val="0"/>
          <w:numId w:val="1"/>
        </w:numPr>
        <w:spacing w:line="360" w:lineRule="auto"/>
        <w:ind w:left="0" w:firstLine="709"/>
        <w:jc w:val="both"/>
        <w:rPr>
          <w:sz w:val="28"/>
        </w:rPr>
      </w:pPr>
      <w:r w:rsidRPr="00106428">
        <w:rPr>
          <w:sz w:val="28"/>
        </w:rPr>
        <w:t xml:space="preserve">Гареева И.А., </w:t>
      </w:r>
      <w:proofErr w:type="spellStart"/>
      <w:r w:rsidRPr="00106428">
        <w:rPr>
          <w:sz w:val="28"/>
        </w:rPr>
        <w:t>Малеванова</w:t>
      </w:r>
      <w:proofErr w:type="spellEnd"/>
      <w:r w:rsidRPr="00106428">
        <w:rPr>
          <w:sz w:val="28"/>
        </w:rPr>
        <w:t xml:space="preserve"> Ю.К. Роль негосударственного пенсионного страхования в пенсионной системе России // Ученые заметки ТОГУ – 2017, том 8, №4, с.312-317</w:t>
      </w:r>
    </w:p>
    <w:p w14:paraId="017647DE" w14:textId="77777777" w:rsidR="00106428" w:rsidRPr="00106428" w:rsidRDefault="00106428" w:rsidP="00106428">
      <w:pPr>
        <w:pStyle w:val="a5"/>
        <w:numPr>
          <w:ilvl w:val="0"/>
          <w:numId w:val="1"/>
        </w:numPr>
        <w:spacing w:line="360" w:lineRule="auto"/>
        <w:ind w:left="0" w:firstLine="709"/>
        <w:jc w:val="both"/>
        <w:rPr>
          <w:sz w:val="28"/>
        </w:rPr>
      </w:pPr>
      <w:r w:rsidRPr="00106428">
        <w:rPr>
          <w:sz w:val="28"/>
        </w:rPr>
        <w:t>Демидова С.Е., Ибрагимова Р.И. Анализ доходности негосударственных пенсионных фондов России // Вестник Псковского государственного университета. Серия: Экономика. Право. Управление. – 2017 – с. 101-106</w:t>
      </w:r>
    </w:p>
    <w:p w14:paraId="31AFCBD1" w14:textId="77777777" w:rsidR="00106428" w:rsidRPr="00106428" w:rsidRDefault="00106428" w:rsidP="00106428">
      <w:pPr>
        <w:pStyle w:val="a5"/>
        <w:numPr>
          <w:ilvl w:val="0"/>
          <w:numId w:val="1"/>
        </w:numPr>
        <w:spacing w:line="360" w:lineRule="auto"/>
        <w:ind w:left="0" w:firstLine="709"/>
        <w:jc w:val="both"/>
        <w:rPr>
          <w:sz w:val="28"/>
          <w:szCs w:val="28"/>
        </w:rPr>
      </w:pPr>
      <w:r w:rsidRPr="00106428">
        <w:rPr>
          <w:sz w:val="28"/>
          <w:szCs w:val="28"/>
        </w:rPr>
        <w:t>Истомина Н.А. Инвестиционная политика негосударственных пенсионных фондов: теоретический аспект / Н.А. Истомина // Финансы и кредит. – 2013. – № 33(561). – С. 64-65.</w:t>
      </w:r>
    </w:p>
    <w:p w14:paraId="402AE54C" w14:textId="77777777" w:rsidR="00106428" w:rsidRPr="00106428" w:rsidRDefault="00106428" w:rsidP="00106428">
      <w:pPr>
        <w:pStyle w:val="a5"/>
        <w:numPr>
          <w:ilvl w:val="0"/>
          <w:numId w:val="1"/>
        </w:numPr>
        <w:spacing w:line="360" w:lineRule="auto"/>
        <w:ind w:left="0" w:firstLine="709"/>
        <w:jc w:val="both"/>
        <w:rPr>
          <w:sz w:val="28"/>
          <w:szCs w:val="28"/>
        </w:rPr>
      </w:pPr>
      <w:proofErr w:type="spellStart"/>
      <w:r w:rsidRPr="00106428">
        <w:rPr>
          <w:sz w:val="28"/>
          <w:szCs w:val="28"/>
        </w:rPr>
        <w:t>Манзарова</w:t>
      </w:r>
      <w:proofErr w:type="spellEnd"/>
      <w:r w:rsidRPr="00106428">
        <w:rPr>
          <w:sz w:val="28"/>
          <w:szCs w:val="28"/>
        </w:rPr>
        <w:t xml:space="preserve"> Э.Д. Место и роль негосударственных пенсионных фондов в пенсионной системе России // Управление экономическими системами: электронный научный журнал. - 2015 – с.21</w:t>
      </w:r>
    </w:p>
    <w:p w14:paraId="48AB67D1" w14:textId="77777777" w:rsidR="00106428" w:rsidRPr="00106428" w:rsidRDefault="00106428" w:rsidP="00106428">
      <w:pPr>
        <w:pStyle w:val="a5"/>
        <w:numPr>
          <w:ilvl w:val="0"/>
          <w:numId w:val="1"/>
        </w:numPr>
        <w:spacing w:line="360" w:lineRule="auto"/>
        <w:ind w:left="0" w:firstLine="709"/>
        <w:jc w:val="both"/>
        <w:rPr>
          <w:sz w:val="28"/>
        </w:rPr>
      </w:pPr>
      <w:r w:rsidRPr="00106428">
        <w:rPr>
          <w:sz w:val="28"/>
        </w:rPr>
        <w:t>Мищенко О.А., Леонидова Е.Г. Негосударственное пенсионное обеспечение населения России на современном этапе развития // Экономика, Развитие, Бизнес – 2018 – с. 43-49</w:t>
      </w:r>
    </w:p>
    <w:p w14:paraId="72BA9EEE" w14:textId="77777777" w:rsidR="00106428" w:rsidRPr="00106428" w:rsidRDefault="00106428" w:rsidP="00106428">
      <w:pPr>
        <w:pStyle w:val="a5"/>
        <w:numPr>
          <w:ilvl w:val="0"/>
          <w:numId w:val="1"/>
        </w:numPr>
        <w:spacing w:line="360" w:lineRule="auto"/>
        <w:ind w:left="0" w:firstLine="709"/>
        <w:jc w:val="both"/>
        <w:rPr>
          <w:sz w:val="36"/>
        </w:rPr>
      </w:pPr>
      <w:proofErr w:type="spellStart"/>
      <w:r w:rsidRPr="00106428">
        <w:rPr>
          <w:sz w:val="28"/>
        </w:rPr>
        <w:t>Ниязбаева</w:t>
      </w:r>
      <w:proofErr w:type="spellEnd"/>
      <w:r w:rsidRPr="00106428">
        <w:rPr>
          <w:sz w:val="28"/>
        </w:rPr>
        <w:t xml:space="preserve"> А.А. Негосударственные пенсионные фонды в системах России и Казахстана: автореферат диссертация кандидата экономических наук: 08.00.10 / </w:t>
      </w:r>
      <w:proofErr w:type="spellStart"/>
      <w:r w:rsidRPr="00106428">
        <w:rPr>
          <w:sz w:val="28"/>
        </w:rPr>
        <w:t>Ниязбаева</w:t>
      </w:r>
      <w:proofErr w:type="spellEnd"/>
      <w:r w:rsidRPr="00106428">
        <w:rPr>
          <w:sz w:val="28"/>
        </w:rPr>
        <w:t xml:space="preserve"> Айгуль </w:t>
      </w:r>
      <w:proofErr w:type="spellStart"/>
      <w:r w:rsidRPr="00106428">
        <w:rPr>
          <w:sz w:val="28"/>
        </w:rPr>
        <w:t>Амангельдыевна</w:t>
      </w:r>
      <w:proofErr w:type="spellEnd"/>
      <w:r w:rsidRPr="00106428">
        <w:rPr>
          <w:sz w:val="28"/>
        </w:rPr>
        <w:t>. – Казань, 2013. – 26 с.</w:t>
      </w:r>
    </w:p>
    <w:p w14:paraId="7C7000C6" w14:textId="77777777" w:rsidR="00106428" w:rsidRPr="00106428" w:rsidRDefault="00106428" w:rsidP="00106428">
      <w:pPr>
        <w:pStyle w:val="a5"/>
        <w:numPr>
          <w:ilvl w:val="0"/>
          <w:numId w:val="1"/>
        </w:numPr>
        <w:spacing w:line="360" w:lineRule="auto"/>
        <w:ind w:left="0" w:firstLine="709"/>
        <w:jc w:val="both"/>
        <w:rPr>
          <w:sz w:val="28"/>
        </w:rPr>
      </w:pPr>
      <w:r w:rsidRPr="00106428">
        <w:rPr>
          <w:sz w:val="28"/>
        </w:rPr>
        <w:t>Новиков А.В Теоретические подходы к пониманию сущности негосударственных пенсионных фондов / А.В. Новиков // Экономика и предпринимательство. – 2016. – №3 (ч.1). – С. 167-171.</w:t>
      </w:r>
    </w:p>
    <w:p w14:paraId="6FDAB6EB" w14:textId="77777777" w:rsidR="00106428" w:rsidRPr="00106428" w:rsidRDefault="00106428" w:rsidP="00106428">
      <w:pPr>
        <w:pStyle w:val="a5"/>
        <w:numPr>
          <w:ilvl w:val="0"/>
          <w:numId w:val="1"/>
        </w:numPr>
        <w:spacing w:line="360" w:lineRule="auto"/>
        <w:ind w:left="0" w:firstLine="709"/>
        <w:jc w:val="both"/>
        <w:rPr>
          <w:sz w:val="28"/>
        </w:rPr>
      </w:pPr>
      <w:r w:rsidRPr="00106428">
        <w:rPr>
          <w:sz w:val="28"/>
        </w:rPr>
        <w:t>Новиков А.В. Совершенствование инструментария оценки управления активами негосударственных пенсионных фондов в процессе их взаимодействия с управляющими компаниями // диссертация на соискание ученой степени кандидата экономических наук: 08.00.10 – Краснодар – 2016 -</w:t>
      </w:r>
      <w:r w:rsidRPr="00106428">
        <w:rPr>
          <w:sz w:val="28"/>
        </w:rPr>
        <w:lastRenderedPageBreak/>
        <w:t>123 с.</w:t>
      </w:r>
    </w:p>
    <w:p w14:paraId="34A8537A" w14:textId="77777777" w:rsidR="00106428" w:rsidRPr="00106428" w:rsidRDefault="00106428" w:rsidP="00106428">
      <w:pPr>
        <w:pStyle w:val="a5"/>
        <w:numPr>
          <w:ilvl w:val="0"/>
          <w:numId w:val="1"/>
        </w:numPr>
        <w:spacing w:line="360" w:lineRule="auto"/>
        <w:ind w:left="0" w:firstLine="709"/>
        <w:jc w:val="both"/>
        <w:rPr>
          <w:sz w:val="28"/>
        </w:rPr>
      </w:pPr>
      <w:r w:rsidRPr="00106428">
        <w:rPr>
          <w:sz w:val="28"/>
        </w:rPr>
        <w:t xml:space="preserve">Ногин Ю.Б Анализ эффективности управления средствами пенсионных накоплений и пенсионных резервов российскими </w:t>
      </w:r>
      <w:proofErr w:type="spellStart"/>
      <w:r w:rsidRPr="00106428">
        <w:rPr>
          <w:sz w:val="28"/>
        </w:rPr>
        <w:t>негосудартвенными</w:t>
      </w:r>
      <w:proofErr w:type="spellEnd"/>
      <w:r w:rsidRPr="00106428">
        <w:rPr>
          <w:sz w:val="28"/>
        </w:rPr>
        <w:t xml:space="preserve"> пенсионными фондами // Корпоративные финансы.- 2017-с. 100-110</w:t>
      </w:r>
    </w:p>
    <w:p w14:paraId="38973DC5" w14:textId="77777777" w:rsidR="00106428" w:rsidRPr="00106428" w:rsidRDefault="00106428" w:rsidP="00106428">
      <w:pPr>
        <w:pStyle w:val="a5"/>
        <w:numPr>
          <w:ilvl w:val="0"/>
          <w:numId w:val="1"/>
        </w:numPr>
        <w:spacing w:line="360" w:lineRule="auto"/>
        <w:ind w:left="0" w:firstLine="709"/>
        <w:jc w:val="both"/>
        <w:rPr>
          <w:sz w:val="28"/>
        </w:rPr>
      </w:pPr>
      <w:proofErr w:type="spellStart"/>
      <w:r w:rsidRPr="00106428">
        <w:rPr>
          <w:sz w:val="28"/>
        </w:rPr>
        <w:t>Фатхисламова</w:t>
      </w:r>
      <w:proofErr w:type="spellEnd"/>
      <w:r w:rsidRPr="00106428">
        <w:rPr>
          <w:sz w:val="28"/>
        </w:rPr>
        <w:t xml:space="preserve"> Г.Ф. Сравнительный анализ развития накопительной компоненты пенсионной системы и негосударственного пенсионного страхования России // Экономическое развитие России. – 2019 – с. 65-75</w:t>
      </w:r>
    </w:p>
    <w:p w14:paraId="1D298F3A" w14:textId="77777777" w:rsidR="00106428" w:rsidRPr="00106428" w:rsidRDefault="00106428" w:rsidP="00106428">
      <w:pPr>
        <w:pStyle w:val="a5"/>
        <w:numPr>
          <w:ilvl w:val="0"/>
          <w:numId w:val="1"/>
        </w:numPr>
        <w:spacing w:line="360" w:lineRule="auto"/>
        <w:ind w:left="0" w:firstLine="709"/>
        <w:jc w:val="both"/>
        <w:rPr>
          <w:sz w:val="28"/>
        </w:rPr>
      </w:pPr>
      <w:proofErr w:type="spellStart"/>
      <w:r w:rsidRPr="00106428">
        <w:rPr>
          <w:sz w:val="28"/>
        </w:rPr>
        <w:t>Финогенова</w:t>
      </w:r>
      <w:proofErr w:type="spellEnd"/>
      <w:r w:rsidRPr="00106428">
        <w:rPr>
          <w:sz w:val="28"/>
        </w:rPr>
        <w:t xml:space="preserve">, Ю.Ю. Пенсионное страхование / Ю.Ю. </w:t>
      </w:r>
      <w:proofErr w:type="spellStart"/>
      <w:r w:rsidRPr="00106428">
        <w:rPr>
          <w:sz w:val="28"/>
        </w:rPr>
        <w:t>Финогенова</w:t>
      </w:r>
      <w:proofErr w:type="spellEnd"/>
      <w:r w:rsidRPr="00106428">
        <w:rPr>
          <w:sz w:val="28"/>
        </w:rPr>
        <w:t xml:space="preserve"> // Учебное пособие. – М: РЭА им. Г.В. Плеханова, 2010. – 70 с</w:t>
      </w:r>
    </w:p>
    <w:p w14:paraId="5E6863AF" w14:textId="77777777" w:rsidR="00106428" w:rsidRPr="00106428" w:rsidRDefault="00106428" w:rsidP="00106428">
      <w:pPr>
        <w:pStyle w:val="a5"/>
        <w:numPr>
          <w:ilvl w:val="0"/>
          <w:numId w:val="1"/>
        </w:numPr>
        <w:spacing w:line="360" w:lineRule="auto"/>
        <w:ind w:left="0" w:firstLine="709"/>
        <w:jc w:val="both"/>
        <w:rPr>
          <w:sz w:val="28"/>
        </w:rPr>
      </w:pPr>
      <w:proofErr w:type="spellStart"/>
      <w:r w:rsidRPr="00106428">
        <w:rPr>
          <w:sz w:val="28"/>
        </w:rPr>
        <w:t>Хачумова</w:t>
      </w:r>
      <w:proofErr w:type="spellEnd"/>
      <w:r w:rsidRPr="00106428">
        <w:rPr>
          <w:sz w:val="28"/>
        </w:rPr>
        <w:t xml:space="preserve"> Л.А. Совершенствование инструментария оценки управления активами негосударственных пенсионных фондов в процессе их взаимодействия с управляющими компаниями // диссертация на соискание ученой степени кандидата экономических наук: 08.00.10 – Москва - 2016 -123 с.</w:t>
      </w:r>
    </w:p>
    <w:p w14:paraId="65C51294" w14:textId="77777777" w:rsidR="00106428" w:rsidRPr="00106428" w:rsidRDefault="00106428" w:rsidP="00106428">
      <w:pPr>
        <w:pStyle w:val="a5"/>
        <w:numPr>
          <w:ilvl w:val="0"/>
          <w:numId w:val="1"/>
        </w:numPr>
        <w:spacing w:line="360" w:lineRule="auto"/>
        <w:ind w:left="0" w:firstLine="709"/>
        <w:jc w:val="both"/>
        <w:rPr>
          <w:sz w:val="28"/>
        </w:rPr>
      </w:pPr>
      <w:proofErr w:type="spellStart"/>
      <w:r w:rsidRPr="00106428">
        <w:rPr>
          <w:sz w:val="28"/>
        </w:rPr>
        <w:t>Эзрох</w:t>
      </w:r>
      <w:proofErr w:type="spellEnd"/>
      <w:r w:rsidRPr="00106428">
        <w:rPr>
          <w:sz w:val="28"/>
        </w:rPr>
        <w:t xml:space="preserve"> Ю.С. Институт банковского пенсионного обеспечения: конкуренция с традиционными институтами // Вестник Московского университета. Серия 6. Экономика. – 2015. - №2 – с 27-55.</w:t>
      </w:r>
    </w:p>
    <w:p w14:paraId="5466A815" w14:textId="77777777" w:rsidR="00106428" w:rsidRPr="00106428" w:rsidRDefault="00106428" w:rsidP="00106428">
      <w:pPr>
        <w:rPr>
          <w:rFonts w:ascii="Times New Roman" w:hAnsi="Times New Roman" w:cs="Times New Roman"/>
          <w:sz w:val="24"/>
          <w:szCs w:val="24"/>
        </w:rPr>
      </w:pPr>
      <w:r w:rsidRPr="00106428">
        <w:rPr>
          <w:rFonts w:ascii="Times New Roman" w:hAnsi="Times New Roman" w:cs="Times New Roman"/>
          <w:sz w:val="28"/>
        </w:rPr>
        <w:t>Юрьева И.А., Масюк Н.Н. Негосударственные пенсионные фонды: перспективы и прогнозы развития // Монография/ И.А. Юрьева, Н.Н. Масюк. – Владивосток: Изд-во ВГУЭ</w:t>
      </w:r>
      <w:r w:rsidRPr="00106428">
        <w:rPr>
          <w:rFonts w:ascii="Times New Roman" w:hAnsi="Times New Roman" w:cs="Times New Roman"/>
          <w:sz w:val="24"/>
          <w:szCs w:val="24"/>
        </w:rPr>
        <w:t xml:space="preserve"> </w:t>
      </w:r>
    </w:p>
    <w:p w14:paraId="2415B301" w14:textId="77777777" w:rsidR="00106428" w:rsidRPr="0056206F" w:rsidRDefault="00106428" w:rsidP="0056206F">
      <w:pPr>
        <w:jc w:val="both"/>
        <w:rPr>
          <w:rFonts w:ascii="Times New Roman" w:hAnsi="Times New Roman" w:cs="Times New Roman"/>
          <w:sz w:val="24"/>
          <w:szCs w:val="24"/>
        </w:rPr>
      </w:pPr>
    </w:p>
    <w:p w14:paraId="01F440E3" w14:textId="77777777" w:rsidR="005A7E97" w:rsidRDefault="005A7E97"/>
    <w:sectPr w:rsidR="005A7E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DD3476" w14:textId="77777777" w:rsidR="00992624" w:rsidRDefault="00992624" w:rsidP="00106428">
      <w:pPr>
        <w:spacing w:after="0" w:line="240" w:lineRule="auto"/>
      </w:pPr>
      <w:r>
        <w:separator/>
      </w:r>
    </w:p>
  </w:endnote>
  <w:endnote w:type="continuationSeparator" w:id="0">
    <w:p w14:paraId="74D5BA3E" w14:textId="77777777" w:rsidR="00992624" w:rsidRDefault="00992624" w:rsidP="001064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086F7" w14:textId="77777777" w:rsidR="00992624" w:rsidRDefault="00992624" w:rsidP="00106428">
      <w:pPr>
        <w:spacing w:after="0" w:line="240" w:lineRule="auto"/>
      </w:pPr>
      <w:r>
        <w:separator/>
      </w:r>
    </w:p>
  </w:footnote>
  <w:footnote w:type="continuationSeparator" w:id="0">
    <w:p w14:paraId="4319E824" w14:textId="77777777" w:rsidR="00992624" w:rsidRDefault="00992624" w:rsidP="00106428">
      <w:pPr>
        <w:spacing w:after="0" w:line="240" w:lineRule="auto"/>
      </w:pPr>
      <w:r>
        <w:continuationSeparator/>
      </w:r>
    </w:p>
  </w:footnote>
  <w:footnote w:id="1">
    <w:p w14:paraId="014B1230" w14:textId="77777777" w:rsidR="00106428" w:rsidRDefault="00106428" w:rsidP="00106428">
      <w:pPr>
        <w:spacing w:line="360" w:lineRule="auto"/>
        <w:jc w:val="both"/>
        <w:rPr>
          <w:rFonts w:eastAsia="Times New Roman"/>
          <w:sz w:val="16"/>
          <w:szCs w:val="16"/>
          <w:lang w:bidi="ru-RU"/>
        </w:rPr>
      </w:pPr>
      <w:r>
        <w:rPr>
          <w:rStyle w:val="a6"/>
          <w:sz w:val="16"/>
          <w:szCs w:val="16"/>
        </w:rPr>
        <w:footnoteRef/>
      </w:r>
      <w:r>
        <w:rPr>
          <w:sz w:val="16"/>
          <w:szCs w:val="16"/>
        </w:rPr>
        <w:t xml:space="preserve"> </w:t>
      </w:r>
      <w:proofErr w:type="spellStart"/>
      <w:r>
        <w:rPr>
          <w:sz w:val="16"/>
          <w:szCs w:val="16"/>
        </w:rPr>
        <w:t>Финогенова</w:t>
      </w:r>
      <w:proofErr w:type="spellEnd"/>
      <w:r>
        <w:rPr>
          <w:sz w:val="16"/>
          <w:szCs w:val="16"/>
        </w:rPr>
        <w:t xml:space="preserve">, Ю.Ю. Пенсионное страхование / Ю.Ю. </w:t>
      </w:r>
      <w:proofErr w:type="spellStart"/>
      <w:r>
        <w:rPr>
          <w:sz w:val="16"/>
          <w:szCs w:val="16"/>
        </w:rPr>
        <w:t>Финогенова</w:t>
      </w:r>
      <w:proofErr w:type="spellEnd"/>
      <w:r>
        <w:rPr>
          <w:sz w:val="16"/>
          <w:szCs w:val="16"/>
        </w:rPr>
        <w:t xml:space="preserve"> // Учебное пособие. – М: РЭА им. Г.В. Плеханова,</w:t>
      </w:r>
    </w:p>
  </w:footnote>
  <w:footnote w:id="2">
    <w:p w14:paraId="380565C6" w14:textId="77777777" w:rsidR="00106428" w:rsidRDefault="00106428" w:rsidP="00106428">
      <w:pPr>
        <w:spacing w:line="360" w:lineRule="auto"/>
        <w:ind w:firstLine="709"/>
        <w:jc w:val="both"/>
        <w:rPr>
          <w:sz w:val="16"/>
          <w:szCs w:val="16"/>
        </w:rPr>
      </w:pPr>
      <w:r>
        <w:rPr>
          <w:rStyle w:val="a6"/>
          <w:sz w:val="16"/>
          <w:szCs w:val="16"/>
        </w:rPr>
        <w:footnoteRef/>
      </w:r>
      <w:r>
        <w:rPr>
          <w:sz w:val="16"/>
          <w:szCs w:val="16"/>
        </w:rPr>
        <w:t xml:space="preserve"> </w:t>
      </w:r>
      <w:proofErr w:type="spellStart"/>
      <w:r>
        <w:rPr>
          <w:sz w:val="16"/>
          <w:szCs w:val="16"/>
        </w:rPr>
        <w:t>Ниязбаева</w:t>
      </w:r>
      <w:proofErr w:type="spellEnd"/>
      <w:r>
        <w:rPr>
          <w:sz w:val="16"/>
          <w:szCs w:val="16"/>
        </w:rPr>
        <w:t xml:space="preserve">, А.А. Негосударственные пенсионные фонды в системах России и Казахстана: автореферат диссертация кандидата экономических наук: 08.00.10 / </w:t>
      </w:r>
      <w:proofErr w:type="spellStart"/>
      <w:r>
        <w:rPr>
          <w:sz w:val="16"/>
          <w:szCs w:val="16"/>
        </w:rPr>
        <w:t>Ниязбаева</w:t>
      </w:r>
      <w:proofErr w:type="spellEnd"/>
      <w:r>
        <w:rPr>
          <w:sz w:val="16"/>
          <w:szCs w:val="16"/>
        </w:rPr>
        <w:t xml:space="preserve"> Айгуль </w:t>
      </w:r>
      <w:proofErr w:type="spellStart"/>
      <w:r>
        <w:rPr>
          <w:sz w:val="16"/>
          <w:szCs w:val="16"/>
        </w:rPr>
        <w:t>Амангельдыевна</w:t>
      </w:r>
      <w:proofErr w:type="spellEnd"/>
      <w:r>
        <w:rPr>
          <w:sz w:val="16"/>
          <w:szCs w:val="16"/>
        </w:rPr>
        <w:t>. – Казань, 2013. – 26 с.</w:t>
      </w:r>
    </w:p>
  </w:footnote>
  <w:footnote w:id="3">
    <w:p w14:paraId="421E2875" w14:textId="77777777" w:rsidR="00106428" w:rsidRDefault="00106428" w:rsidP="00106428">
      <w:pPr>
        <w:spacing w:line="360" w:lineRule="auto"/>
        <w:ind w:firstLine="709"/>
        <w:jc w:val="both"/>
        <w:rPr>
          <w:sz w:val="16"/>
          <w:szCs w:val="16"/>
        </w:rPr>
      </w:pPr>
      <w:r>
        <w:rPr>
          <w:rStyle w:val="a6"/>
          <w:sz w:val="16"/>
          <w:szCs w:val="16"/>
        </w:rPr>
        <w:footnoteRef/>
      </w:r>
      <w:r>
        <w:rPr>
          <w:sz w:val="16"/>
          <w:szCs w:val="16"/>
        </w:rPr>
        <w:t xml:space="preserve">  </w:t>
      </w:r>
      <w:proofErr w:type="spellStart"/>
      <w:r>
        <w:rPr>
          <w:sz w:val="16"/>
          <w:szCs w:val="16"/>
        </w:rPr>
        <w:t>Хачумова</w:t>
      </w:r>
      <w:proofErr w:type="spellEnd"/>
      <w:r>
        <w:rPr>
          <w:sz w:val="16"/>
          <w:szCs w:val="16"/>
        </w:rPr>
        <w:t xml:space="preserve"> Л.А. Совершенствование инструментария оценки управления активами негосударственных пенсионных фондов в процессе их взаимодействия с управляющими компаниями // диссертация на соискание ученой степени кандидата экономических наук: 08.00.10 – Москва - 2016 -123 с.</w:t>
      </w:r>
    </w:p>
  </w:footnote>
  <w:footnote w:id="4">
    <w:p w14:paraId="1A02F968" w14:textId="77777777" w:rsidR="00106428" w:rsidRDefault="00106428" w:rsidP="00106428">
      <w:pPr>
        <w:spacing w:line="360" w:lineRule="auto"/>
        <w:ind w:firstLine="709"/>
        <w:jc w:val="both"/>
        <w:rPr>
          <w:sz w:val="28"/>
        </w:rPr>
      </w:pPr>
      <w:r>
        <w:rPr>
          <w:rStyle w:val="a6"/>
          <w:sz w:val="16"/>
          <w:szCs w:val="16"/>
        </w:rPr>
        <w:footnoteRef/>
      </w:r>
      <w:r>
        <w:rPr>
          <w:sz w:val="16"/>
          <w:szCs w:val="16"/>
        </w:rPr>
        <w:t xml:space="preserve"> Новиков А.В. Совершенствование инструментария оценки управления активами негосударственных пенсионных фондов в процессе их взаимодействия с управляющими компаниями // диссертация на соискание ученой степени кандидата экономических наук: 08.00.10 – Краснодар – 2016 -123 с.</w:t>
      </w:r>
    </w:p>
    <w:p w14:paraId="7F26C9A4" w14:textId="77777777" w:rsidR="00106428" w:rsidRDefault="00106428" w:rsidP="00106428">
      <w:pPr>
        <w:pStyle w:val="a3"/>
        <w:spacing w:line="360" w:lineRule="auto"/>
        <w:ind w:firstLine="709"/>
        <w:jc w:val="both"/>
      </w:pPr>
    </w:p>
  </w:footnote>
  <w:footnote w:id="5">
    <w:p w14:paraId="0E12A7FF" w14:textId="77777777" w:rsidR="00106428" w:rsidRDefault="00106428" w:rsidP="00106428">
      <w:pPr>
        <w:spacing w:line="360" w:lineRule="auto"/>
        <w:ind w:firstLine="709"/>
        <w:jc w:val="both"/>
        <w:rPr>
          <w:sz w:val="16"/>
          <w:szCs w:val="16"/>
        </w:rPr>
      </w:pPr>
      <w:r>
        <w:rPr>
          <w:rStyle w:val="a6"/>
          <w:sz w:val="16"/>
          <w:szCs w:val="16"/>
        </w:rPr>
        <w:footnoteRef/>
      </w:r>
      <w:r>
        <w:rPr>
          <w:sz w:val="16"/>
          <w:szCs w:val="16"/>
        </w:rPr>
        <w:t xml:space="preserve"> Мищенко О.А., Леонидова Е.Г. Негосударственное пенсионное обеспечение населения России на современном этапе развития // Экономика, Развитие, Бизнес – 2018 – с. 43-49</w:t>
      </w:r>
    </w:p>
  </w:footnote>
  <w:footnote w:id="6">
    <w:p w14:paraId="7CC38839" w14:textId="77777777" w:rsidR="00106428" w:rsidRDefault="00106428" w:rsidP="00106428">
      <w:pPr>
        <w:spacing w:line="360" w:lineRule="auto"/>
        <w:ind w:firstLine="709"/>
        <w:jc w:val="both"/>
        <w:rPr>
          <w:sz w:val="16"/>
          <w:szCs w:val="16"/>
        </w:rPr>
      </w:pPr>
      <w:r>
        <w:rPr>
          <w:rStyle w:val="a6"/>
          <w:sz w:val="16"/>
          <w:szCs w:val="16"/>
        </w:rPr>
        <w:footnoteRef/>
      </w:r>
      <w:r>
        <w:rPr>
          <w:sz w:val="16"/>
          <w:szCs w:val="16"/>
        </w:rPr>
        <w:t xml:space="preserve"> Гареева И.А., </w:t>
      </w:r>
      <w:proofErr w:type="spellStart"/>
      <w:r>
        <w:rPr>
          <w:sz w:val="16"/>
          <w:szCs w:val="16"/>
        </w:rPr>
        <w:t>Малеванова</w:t>
      </w:r>
      <w:proofErr w:type="spellEnd"/>
      <w:r>
        <w:rPr>
          <w:sz w:val="16"/>
          <w:szCs w:val="16"/>
        </w:rPr>
        <w:t xml:space="preserve"> Ю.К. Роль негосударственного пенсионного страхования в пенсионной системе России // Ученые заметки ТОГУ – 2017, том 8, №4, с.312-317</w:t>
      </w:r>
    </w:p>
  </w:footnote>
  <w:footnote w:id="7">
    <w:p w14:paraId="744DE173" w14:textId="77777777" w:rsidR="00106428" w:rsidRDefault="00106428" w:rsidP="00106428">
      <w:pPr>
        <w:spacing w:line="360" w:lineRule="auto"/>
        <w:ind w:firstLine="709"/>
        <w:jc w:val="both"/>
        <w:rPr>
          <w:sz w:val="16"/>
          <w:szCs w:val="16"/>
        </w:rPr>
      </w:pPr>
      <w:r>
        <w:rPr>
          <w:rStyle w:val="a6"/>
          <w:sz w:val="16"/>
          <w:szCs w:val="16"/>
        </w:rPr>
        <w:footnoteRef/>
      </w:r>
      <w:r>
        <w:rPr>
          <w:sz w:val="16"/>
          <w:szCs w:val="16"/>
        </w:rPr>
        <w:t xml:space="preserve"> </w:t>
      </w:r>
      <w:proofErr w:type="spellStart"/>
      <w:r>
        <w:rPr>
          <w:sz w:val="16"/>
          <w:szCs w:val="16"/>
        </w:rPr>
        <w:t>Манзарова</w:t>
      </w:r>
      <w:proofErr w:type="spellEnd"/>
      <w:r>
        <w:rPr>
          <w:sz w:val="16"/>
          <w:szCs w:val="16"/>
        </w:rPr>
        <w:t xml:space="preserve"> Э.Д. Место и роль негосударственных пенсионных фондов в пенсионной системе России // Управление экономическими системами: электронный научный журнал. - 2015 – с.21</w:t>
      </w:r>
    </w:p>
    <w:p w14:paraId="6ACEE499" w14:textId="77777777" w:rsidR="00106428" w:rsidRDefault="00106428" w:rsidP="00106428">
      <w:pPr>
        <w:pStyle w:val="a3"/>
      </w:pPr>
    </w:p>
  </w:footnote>
  <w:footnote w:id="8">
    <w:p w14:paraId="1E24AA1C" w14:textId="77777777" w:rsidR="00106428" w:rsidRDefault="00106428" w:rsidP="00106428">
      <w:pPr>
        <w:spacing w:line="360" w:lineRule="auto"/>
        <w:jc w:val="both"/>
        <w:rPr>
          <w:sz w:val="16"/>
          <w:szCs w:val="16"/>
        </w:rPr>
      </w:pPr>
      <w:r>
        <w:rPr>
          <w:rStyle w:val="a6"/>
          <w:sz w:val="16"/>
          <w:szCs w:val="16"/>
        </w:rPr>
        <w:footnoteRef/>
      </w:r>
      <w:r>
        <w:rPr>
          <w:sz w:val="16"/>
          <w:szCs w:val="16"/>
        </w:rPr>
        <w:t xml:space="preserve"> Юрьева И.А., Масюк Н.Н. Негосударственные пенсионные фонды: перспективы и прогнозы развития // Монография/ И.А. Юрьева, Н.Н. Масюк. – Владивосток: Изд-во ВГУЭС, 2017. – 160 с.</w:t>
      </w:r>
    </w:p>
    <w:p w14:paraId="7F9EB6A1" w14:textId="77777777" w:rsidR="00106428" w:rsidRDefault="00106428" w:rsidP="00106428">
      <w:pPr>
        <w:pStyle w:val="a3"/>
      </w:pPr>
    </w:p>
  </w:footnote>
  <w:footnote w:id="9">
    <w:p w14:paraId="06D1431D" w14:textId="77777777" w:rsidR="00106428" w:rsidRDefault="00106428" w:rsidP="00106428">
      <w:pPr>
        <w:spacing w:line="360" w:lineRule="auto"/>
        <w:ind w:firstLine="709"/>
        <w:jc w:val="both"/>
        <w:rPr>
          <w:sz w:val="16"/>
          <w:szCs w:val="16"/>
        </w:rPr>
      </w:pPr>
      <w:r>
        <w:rPr>
          <w:rStyle w:val="a6"/>
          <w:sz w:val="16"/>
          <w:szCs w:val="16"/>
        </w:rPr>
        <w:footnoteRef/>
      </w:r>
      <w:r>
        <w:rPr>
          <w:sz w:val="16"/>
          <w:szCs w:val="16"/>
        </w:rPr>
        <w:t xml:space="preserve"> </w:t>
      </w:r>
      <w:proofErr w:type="spellStart"/>
      <w:r>
        <w:rPr>
          <w:sz w:val="16"/>
          <w:szCs w:val="16"/>
        </w:rPr>
        <w:t>Эзрох</w:t>
      </w:r>
      <w:proofErr w:type="spellEnd"/>
      <w:r>
        <w:rPr>
          <w:sz w:val="16"/>
          <w:szCs w:val="16"/>
        </w:rPr>
        <w:t xml:space="preserve"> Ю.С. Институт банковского пенсионного обеспечения: конкуренция с традиционными институтами // Вестник Московского университета. Серия 6. Экономика. – 2015. - №2 – с 27-55.</w:t>
      </w:r>
    </w:p>
    <w:p w14:paraId="2508767F" w14:textId="77777777" w:rsidR="00106428" w:rsidRDefault="00106428" w:rsidP="00106428">
      <w:pPr>
        <w:pStyle w:val="a3"/>
      </w:pPr>
    </w:p>
  </w:footnote>
  <w:footnote w:id="10">
    <w:p w14:paraId="50B69A23" w14:textId="77777777" w:rsidR="00106428" w:rsidRDefault="00106428" w:rsidP="00106428">
      <w:pPr>
        <w:spacing w:line="360" w:lineRule="auto"/>
        <w:ind w:firstLine="709"/>
        <w:jc w:val="both"/>
        <w:rPr>
          <w:sz w:val="16"/>
          <w:szCs w:val="16"/>
        </w:rPr>
      </w:pPr>
      <w:r>
        <w:rPr>
          <w:rStyle w:val="a6"/>
          <w:sz w:val="16"/>
          <w:szCs w:val="16"/>
        </w:rPr>
        <w:footnoteRef/>
      </w:r>
      <w:r>
        <w:rPr>
          <w:sz w:val="16"/>
          <w:szCs w:val="16"/>
        </w:rPr>
        <w:t xml:space="preserve"> Демидова С.Е., Ибрагимова Р.И. Анализ доходности негосударственных пенсионных фондов России // Вестник Псковского государственного университета. Серия: Экономика. Право. Управление. – 2017 – с. 101-106</w:t>
      </w:r>
    </w:p>
    <w:p w14:paraId="08440CCE" w14:textId="77777777" w:rsidR="00106428" w:rsidRDefault="00106428" w:rsidP="00106428">
      <w:pPr>
        <w:pStyle w:val="a3"/>
      </w:pPr>
    </w:p>
  </w:footnote>
  <w:footnote w:id="11">
    <w:p w14:paraId="35ABF761" w14:textId="77777777" w:rsidR="00106428" w:rsidRDefault="00106428" w:rsidP="00106428">
      <w:pPr>
        <w:spacing w:line="360" w:lineRule="auto"/>
        <w:jc w:val="both"/>
        <w:rPr>
          <w:sz w:val="16"/>
          <w:szCs w:val="16"/>
        </w:rPr>
      </w:pPr>
      <w:r>
        <w:rPr>
          <w:rStyle w:val="a6"/>
          <w:sz w:val="16"/>
          <w:szCs w:val="16"/>
        </w:rPr>
        <w:footnoteRef/>
      </w:r>
      <w:r>
        <w:rPr>
          <w:sz w:val="16"/>
          <w:szCs w:val="16"/>
        </w:rPr>
        <w:t xml:space="preserve"> Ногин Ю.Б Анализ эффективности управления средствами пенсионных накоплений и пенсионных резервов российскими </w:t>
      </w:r>
      <w:proofErr w:type="spellStart"/>
      <w:r>
        <w:rPr>
          <w:sz w:val="16"/>
          <w:szCs w:val="16"/>
        </w:rPr>
        <w:t>негосудартвенными</w:t>
      </w:r>
      <w:proofErr w:type="spellEnd"/>
      <w:r>
        <w:rPr>
          <w:sz w:val="16"/>
          <w:szCs w:val="16"/>
        </w:rPr>
        <w:t xml:space="preserve"> пенсионными фондами // Корпоративные финансы.- 2017-с. 100-110</w:t>
      </w:r>
    </w:p>
    <w:p w14:paraId="213E1517" w14:textId="77777777" w:rsidR="00106428" w:rsidRDefault="00106428" w:rsidP="00106428">
      <w:pPr>
        <w:pStyle w:val="a3"/>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34739"/>
    <w:multiLevelType w:val="hybridMultilevel"/>
    <w:tmpl w:val="3D14796E"/>
    <w:lvl w:ilvl="0" w:tplc="0419000F">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BAF762C"/>
    <w:multiLevelType w:val="hybridMultilevel"/>
    <w:tmpl w:val="224E6BC6"/>
    <w:lvl w:ilvl="0" w:tplc="8EEA1ED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15:restartNumberingAfterBreak="0">
    <w:nsid w:val="1DB321AC"/>
    <w:multiLevelType w:val="hybridMultilevel"/>
    <w:tmpl w:val="B3BCA66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E3505C8"/>
    <w:multiLevelType w:val="hybridMultilevel"/>
    <w:tmpl w:val="2860308C"/>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359204D"/>
    <w:multiLevelType w:val="hybridMultilevel"/>
    <w:tmpl w:val="44C81EEC"/>
    <w:lvl w:ilvl="0" w:tplc="61F2D58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5" w15:restartNumberingAfterBreak="0">
    <w:nsid w:val="4DA61F71"/>
    <w:multiLevelType w:val="hybridMultilevel"/>
    <w:tmpl w:val="A218DAA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54447513"/>
    <w:multiLevelType w:val="hybridMultilevel"/>
    <w:tmpl w:val="D4F8ADD6"/>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6B696698"/>
    <w:multiLevelType w:val="hybridMultilevel"/>
    <w:tmpl w:val="CB6A40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C8D3784"/>
    <w:multiLevelType w:val="hybridMultilevel"/>
    <w:tmpl w:val="2D848AEE"/>
    <w:lvl w:ilvl="0" w:tplc="EEF27C6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16cid:durableId="23188927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7138775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360397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3466624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2471688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5522908">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345938302">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1895636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9741097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653"/>
    <w:rsid w:val="00085EAA"/>
    <w:rsid w:val="00106428"/>
    <w:rsid w:val="001C2C6E"/>
    <w:rsid w:val="0056206F"/>
    <w:rsid w:val="005A7E97"/>
    <w:rsid w:val="00690653"/>
    <w:rsid w:val="008678A6"/>
    <w:rsid w:val="00992624"/>
    <w:rsid w:val="00AC27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C3F4A"/>
  <w15:chartTrackingRefBased/>
  <w15:docId w15:val="{E464F50A-2E02-477A-AB99-42D48CB9D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6206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06428"/>
    <w:pPr>
      <w:widowControl w:val="0"/>
      <w:autoSpaceDE w:val="0"/>
      <w:autoSpaceDN w:val="0"/>
      <w:spacing w:after="0" w:line="240" w:lineRule="auto"/>
    </w:pPr>
    <w:rPr>
      <w:rFonts w:ascii="Times New Roman" w:eastAsia="Times New Roman" w:hAnsi="Times New Roman" w:cs="Times New Roman"/>
      <w:kern w:val="0"/>
      <w:sz w:val="20"/>
      <w:szCs w:val="20"/>
      <w:lang w:eastAsia="ru-RU" w:bidi="ru-RU"/>
      <w14:ligatures w14:val="none"/>
    </w:rPr>
  </w:style>
  <w:style w:type="character" w:customStyle="1" w:styleId="a4">
    <w:name w:val="Текст сноски Знак"/>
    <w:basedOn w:val="a0"/>
    <w:link w:val="a3"/>
    <w:uiPriority w:val="99"/>
    <w:semiHidden/>
    <w:rsid w:val="00106428"/>
    <w:rPr>
      <w:rFonts w:ascii="Times New Roman" w:eastAsia="Times New Roman" w:hAnsi="Times New Roman" w:cs="Times New Roman"/>
      <w:kern w:val="0"/>
      <w:sz w:val="20"/>
      <w:szCs w:val="20"/>
      <w:lang w:eastAsia="ru-RU" w:bidi="ru-RU"/>
      <w14:ligatures w14:val="none"/>
    </w:rPr>
  </w:style>
  <w:style w:type="paragraph" w:styleId="a5">
    <w:name w:val="List Paragraph"/>
    <w:basedOn w:val="a"/>
    <w:uiPriority w:val="34"/>
    <w:qFormat/>
    <w:rsid w:val="00106428"/>
    <w:pPr>
      <w:widowControl w:val="0"/>
      <w:autoSpaceDE w:val="0"/>
      <w:autoSpaceDN w:val="0"/>
      <w:spacing w:after="0" w:line="240" w:lineRule="auto"/>
      <w:ind w:left="720"/>
      <w:contextualSpacing/>
    </w:pPr>
    <w:rPr>
      <w:rFonts w:ascii="Times New Roman" w:eastAsia="Times New Roman" w:hAnsi="Times New Roman" w:cs="Times New Roman"/>
      <w:kern w:val="0"/>
      <w:lang w:eastAsia="ru-RU" w:bidi="ru-RU"/>
      <w14:ligatures w14:val="none"/>
    </w:rPr>
  </w:style>
  <w:style w:type="character" w:styleId="a6">
    <w:name w:val="footnote reference"/>
    <w:basedOn w:val="a0"/>
    <w:uiPriority w:val="99"/>
    <w:semiHidden/>
    <w:unhideWhenUsed/>
    <w:rsid w:val="00106428"/>
    <w:rPr>
      <w:vertAlign w:val="superscript"/>
    </w:rPr>
  </w:style>
  <w:style w:type="table" w:styleId="a7">
    <w:name w:val="Table Grid"/>
    <w:basedOn w:val="a1"/>
    <w:uiPriority w:val="59"/>
    <w:rsid w:val="00106428"/>
    <w:pPr>
      <w:spacing w:after="0" w:line="240" w:lineRule="auto"/>
    </w:pPr>
    <w:rPr>
      <w:kern w:val="0"/>
      <w14:ligatures w14:val="non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861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4231</Words>
  <Characters>24118</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8</cp:revision>
  <dcterms:created xsi:type="dcterms:W3CDTF">2022-09-02T04:04:00Z</dcterms:created>
  <dcterms:modified xsi:type="dcterms:W3CDTF">2022-09-02T04:23:00Z</dcterms:modified>
</cp:coreProperties>
</file>