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55D" w:rsidRPr="001C7B5D" w:rsidRDefault="00A8055D" w:rsidP="00A8055D">
      <w:pPr>
        <w:pStyle w:val="2"/>
        <w:ind w:left="72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1C7B5D">
        <w:rPr>
          <w:rFonts w:ascii="Times New Roman" w:hAnsi="Times New Roman" w:cs="Times New Roman"/>
          <w:i w:val="0"/>
          <w:sz w:val="32"/>
          <w:szCs w:val="32"/>
        </w:rPr>
        <w:t>Методические указания и задание на выполнение контрольной работы</w:t>
      </w:r>
    </w:p>
    <w:p w:rsidR="00A8055D" w:rsidRPr="001C7B5D" w:rsidRDefault="00A8055D" w:rsidP="00A8055D">
      <w:pPr>
        <w:jc w:val="center"/>
        <w:rPr>
          <w:sz w:val="32"/>
          <w:szCs w:val="32"/>
        </w:rPr>
      </w:pPr>
    </w:p>
    <w:p w:rsidR="00A8055D" w:rsidRDefault="00A8055D" w:rsidP="00A8055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CC531F">
        <w:rPr>
          <w:sz w:val="28"/>
          <w:szCs w:val="28"/>
        </w:rPr>
        <w:t xml:space="preserve">В процессе выполнения контрольной работы надо произвести оценку </w:t>
      </w:r>
      <w:r w:rsidRPr="00B30331">
        <w:rPr>
          <w:bCs/>
          <w:sz w:val="28"/>
          <w:szCs w:val="28"/>
        </w:rPr>
        <w:t>экономической эффективности инвестиционного проекта</w:t>
      </w:r>
      <w:r w:rsidRPr="00B3033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 использованием динамических показателей </w:t>
      </w:r>
      <w:r w:rsidRPr="00B30331">
        <w:rPr>
          <w:sz w:val="28"/>
          <w:szCs w:val="28"/>
        </w:rPr>
        <w:t xml:space="preserve">в </w:t>
      </w:r>
      <w:r w:rsidRPr="00B30331">
        <w:rPr>
          <w:sz w:val="28"/>
          <w:szCs w:val="28"/>
          <w:lang w:val="en-US"/>
        </w:rPr>
        <w:t>MS</w:t>
      </w:r>
      <w:r w:rsidRPr="00B30331">
        <w:rPr>
          <w:sz w:val="28"/>
          <w:szCs w:val="28"/>
        </w:rPr>
        <w:t xml:space="preserve"> </w:t>
      </w:r>
      <w:r w:rsidRPr="00B30331">
        <w:rPr>
          <w:sz w:val="28"/>
          <w:szCs w:val="28"/>
          <w:lang w:val="en-US"/>
        </w:rPr>
        <w:t>Excel</w:t>
      </w:r>
      <w:r w:rsidRPr="00B30331">
        <w:rPr>
          <w:sz w:val="28"/>
          <w:szCs w:val="28"/>
        </w:rPr>
        <w:t>.</w:t>
      </w:r>
    </w:p>
    <w:p w:rsidR="009C1813" w:rsidRDefault="009C1813" w:rsidP="00A8055D">
      <w:pPr>
        <w:jc w:val="both"/>
        <w:rPr>
          <w:sz w:val="28"/>
          <w:szCs w:val="28"/>
        </w:rPr>
      </w:pPr>
    </w:p>
    <w:p w:rsidR="00A8055D" w:rsidRDefault="009C1813" w:rsidP="009C1813">
      <w:pPr>
        <w:ind w:left="360"/>
        <w:jc w:val="both"/>
        <w:rPr>
          <w:b/>
          <w:i/>
          <w:sz w:val="28"/>
          <w:szCs w:val="28"/>
        </w:rPr>
      </w:pPr>
      <w:r w:rsidRPr="009C1813">
        <w:rPr>
          <w:b/>
          <w:i/>
          <w:sz w:val="28"/>
          <w:szCs w:val="28"/>
        </w:rPr>
        <w:t>1.Теоритические основы оценки экономической эффективности инвестиционных проектов на основе динамического подхода.</w:t>
      </w:r>
    </w:p>
    <w:p w:rsidR="009C1813" w:rsidRPr="009C1813" w:rsidRDefault="009C1813" w:rsidP="009C1813">
      <w:pPr>
        <w:ind w:left="360"/>
        <w:jc w:val="both"/>
        <w:rPr>
          <w:b/>
          <w:i/>
          <w:sz w:val="28"/>
          <w:szCs w:val="28"/>
        </w:rPr>
      </w:pPr>
    </w:p>
    <w:p w:rsidR="00A8055D" w:rsidRPr="00A41E8E" w:rsidRDefault="00A8055D" w:rsidP="00A8055D">
      <w:pPr>
        <w:ind w:firstLine="708"/>
        <w:jc w:val="both"/>
        <w:rPr>
          <w:sz w:val="28"/>
        </w:rPr>
      </w:pPr>
      <w:r w:rsidRPr="00A41E8E">
        <w:rPr>
          <w:sz w:val="28"/>
        </w:rPr>
        <w:t>Динамические показатели экономической эффективности инвестиционных проектов основаны на операции дисконтирования денежных потоков. Дисконтирование - это процедура приведения разновременных денежных потоков поступлений и выплат к единому моменту времени. К данной группе относятся:</w:t>
      </w:r>
    </w:p>
    <w:p w:rsidR="00A8055D" w:rsidRPr="00A41E8E" w:rsidRDefault="00A8055D" w:rsidP="00A8055D">
      <w:pPr>
        <w:numPr>
          <w:ilvl w:val="0"/>
          <w:numId w:val="3"/>
        </w:numPr>
        <w:jc w:val="both"/>
        <w:rPr>
          <w:sz w:val="28"/>
        </w:rPr>
      </w:pPr>
      <w:r w:rsidRPr="00A41E8E">
        <w:rPr>
          <w:sz w:val="28"/>
        </w:rPr>
        <w:t>чистая текущая стоимость (</w:t>
      </w:r>
      <w:r w:rsidRPr="00A41E8E">
        <w:rPr>
          <w:sz w:val="28"/>
          <w:lang w:val="en-US"/>
        </w:rPr>
        <w:t>NPV),</w:t>
      </w:r>
    </w:p>
    <w:p w:rsidR="00A8055D" w:rsidRPr="00A41E8E" w:rsidRDefault="00A8055D" w:rsidP="00A8055D">
      <w:pPr>
        <w:numPr>
          <w:ilvl w:val="0"/>
          <w:numId w:val="3"/>
        </w:numPr>
        <w:jc w:val="both"/>
        <w:rPr>
          <w:sz w:val="28"/>
        </w:rPr>
      </w:pPr>
      <w:r w:rsidRPr="00A41E8E">
        <w:rPr>
          <w:sz w:val="28"/>
        </w:rPr>
        <w:t>индекс доходности</w:t>
      </w:r>
      <w:r w:rsidRPr="00A41E8E">
        <w:rPr>
          <w:sz w:val="28"/>
          <w:lang w:val="en-US"/>
        </w:rPr>
        <w:t xml:space="preserve"> (PI),</w:t>
      </w:r>
    </w:p>
    <w:p w:rsidR="00A8055D" w:rsidRPr="00A41E8E" w:rsidRDefault="00A8055D" w:rsidP="00A8055D">
      <w:pPr>
        <w:numPr>
          <w:ilvl w:val="0"/>
          <w:numId w:val="3"/>
        </w:numPr>
        <w:jc w:val="both"/>
        <w:rPr>
          <w:sz w:val="28"/>
        </w:rPr>
      </w:pPr>
      <w:r w:rsidRPr="00A41E8E">
        <w:rPr>
          <w:sz w:val="28"/>
        </w:rPr>
        <w:t>внутренняя норма доходности</w:t>
      </w:r>
      <w:r w:rsidRPr="00A41E8E">
        <w:rPr>
          <w:sz w:val="28"/>
          <w:lang w:val="en-US"/>
        </w:rPr>
        <w:t xml:space="preserve"> (IRR)</w:t>
      </w:r>
    </w:p>
    <w:p w:rsidR="00A8055D" w:rsidRPr="00A41E8E" w:rsidRDefault="00A8055D" w:rsidP="00A8055D">
      <w:pPr>
        <w:numPr>
          <w:ilvl w:val="0"/>
          <w:numId w:val="3"/>
        </w:numPr>
        <w:jc w:val="both"/>
        <w:rPr>
          <w:i/>
          <w:sz w:val="28"/>
        </w:rPr>
      </w:pPr>
      <w:r w:rsidRPr="00A41E8E">
        <w:rPr>
          <w:sz w:val="28"/>
        </w:rPr>
        <w:t>динамический срок окупаемости</w:t>
      </w:r>
      <w:r w:rsidRPr="00A41E8E">
        <w:rPr>
          <w:sz w:val="28"/>
          <w:lang w:val="en-US"/>
        </w:rPr>
        <w:t xml:space="preserve"> (DPBP).</w:t>
      </w:r>
    </w:p>
    <w:p w:rsidR="00A8055D" w:rsidRPr="00D7411D" w:rsidRDefault="00A8055D" w:rsidP="00A8055D">
      <w:pPr>
        <w:ind w:left="360"/>
        <w:rPr>
          <w:iCs/>
        </w:rPr>
      </w:pPr>
    </w:p>
    <w:p w:rsidR="00A8055D" w:rsidRPr="00A8055D" w:rsidRDefault="00A8055D" w:rsidP="00A8055D">
      <w:pPr>
        <w:pStyle w:val="3"/>
        <w:keepLines w:val="0"/>
        <w:spacing w:before="240" w:after="60"/>
        <w:jc w:val="center"/>
        <w:rPr>
          <w:rFonts w:ascii="Times New Roman" w:hAnsi="Times New Roman" w:cs="Times New Roman"/>
          <w:i/>
          <w:color w:val="auto"/>
          <w:sz w:val="28"/>
        </w:rPr>
      </w:pPr>
      <w:bookmarkStart w:id="0" w:name="_Toc301823119"/>
      <w:r w:rsidRPr="00A8055D">
        <w:rPr>
          <w:rFonts w:ascii="Times New Roman" w:hAnsi="Times New Roman" w:cs="Times New Roman"/>
          <w:color w:val="auto"/>
          <w:sz w:val="28"/>
        </w:rPr>
        <w:t>Чистая текущая стоимость (NPV)</w:t>
      </w:r>
      <w:bookmarkEnd w:id="0"/>
    </w:p>
    <w:p w:rsidR="00A8055D" w:rsidRPr="00A41E8E" w:rsidRDefault="00A8055D" w:rsidP="00A8055D">
      <w:pPr>
        <w:spacing w:after="120"/>
        <w:ind w:firstLine="360"/>
        <w:jc w:val="both"/>
        <w:rPr>
          <w:sz w:val="28"/>
        </w:rPr>
      </w:pPr>
      <w:r>
        <w:rPr>
          <w:sz w:val="28"/>
        </w:rPr>
        <w:t xml:space="preserve">Чистая текущая стоимость рассчитывается как разность </w:t>
      </w:r>
      <w:r w:rsidRPr="00A41E8E">
        <w:rPr>
          <w:sz w:val="28"/>
        </w:rPr>
        <w:t xml:space="preserve">дисконтированных денежных потоков поступлений и выплат, производимых в процессе реализации проекта. В зарубежной экономической литературе соответствующий показатель носит название </w:t>
      </w:r>
      <w:r w:rsidRPr="00A41E8E">
        <w:rPr>
          <w:sz w:val="28"/>
          <w:lang w:val="en-US"/>
        </w:rPr>
        <w:t>Net</w:t>
      </w:r>
      <w:r w:rsidRPr="00A41E8E">
        <w:rPr>
          <w:sz w:val="28"/>
        </w:rPr>
        <w:t xml:space="preserve"> </w:t>
      </w:r>
      <w:r w:rsidRPr="00A41E8E">
        <w:rPr>
          <w:sz w:val="28"/>
          <w:lang w:val="en-US"/>
        </w:rPr>
        <w:t>Present</w:t>
      </w:r>
      <w:r w:rsidRPr="00A41E8E">
        <w:rPr>
          <w:sz w:val="28"/>
        </w:rPr>
        <w:t xml:space="preserve"> </w:t>
      </w:r>
      <w:r w:rsidRPr="00A41E8E">
        <w:rPr>
          <w:sz w:val="28"/>
          <w:lang w:val="en-US"/>
        </w:rPr>
        <w:t>Value</w:t>
      </w:r>
      <w:r w:rsidRPr="00A41E8E">
        <w:rPr>
          <w:sz w:val="28"/>
        </w:rPr>
        <w:t xml:space="preserve"> (</w:t>
      </w:r>
      <w:r w:rsidRPr="00A41E8E">
        <w:rPr>
          <w:sz w:val="28"/>
          <w:lang w:val="en-US"/>
        </w:rPr>
        <w:t>NPV</w:t>
      </w:r>
      <w:r w:rsidRPr="00A41E8E">
        <w:rPr>
          <w:sz w:val="28"/>
        </w:rPr>
        <w:t xml:space="preserve">). </w:t>
      </w:r>
    </w:p>
    <w:p w:rsidR="00A8055D" w:rsidRPr="00A41E8E" w:rsidRDefault="00A8055D" w:rsidP="00A8055D">
      <w:pPr>
        <w:spacing w:after="120"/>
        <w:jc w:val="both"/>
        <w:rPr>
          <w:sz w:val="28"/>
        </w:rPr>
      </w:pPr>
      <w:r w:rsidRPr="00A41E8E">
        <w:rPr>
          <w:sz w:val="28"/>
        </w:rPr>
        <w:t>Расчет этого показателя осуществляется по формуле:</w:t>
      </w:r>
    </w:p>
    <w:p w:rsidR="00A8055D" w:rsidRPr="00A41E8E" w:rsidRDefault="00A8055D" w:rsidP="00A8055D">
      <w:pPr>
        <w:spacing w:line="360" w:lineRule="auto"/>
        <w:ind w:firstLine="284"/>
        <w:jc w:val="center"/>
        <w:rPr>
          <w:sz w:val="28"/>
        </w:rPr>
      </w:pPr>
      <w:r w:rsidRPr="00A41E8E">
        <w:rPr>
          <w:position w:val="-38"/>
          <w:sz w:val="28"/>
        </w:rPr>
        <w:object w:dxaOrig="3800" w:dyaOrig="8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0.35pt;height:42.05pt" o:ole="">
            <v:imagedata r:id="rId5" o:title=""/>
          </v:shape>
          <o:OLEObject Type="Embed" ProgID="Equation.3" ShapeID="_x0000_i1025" DrawAspect="Content" ObjectID="_1552462165" r:id="rId6"/>
        </w:object>
      </w:r>
      <w:r w:rsidRPr="00A41E8E">
        <w:rPr>
          <w:sz w:val="28"/>
        </w:rPr>
        <w:t>,</w:t>
      </w:r>
      <w:r>
        <w:rPr>
          <w:sz w:val="28"/>
        </w:rPr>
        <w:t xml:space="preserve">                           (1)</w:t>
      </w:r>
    </w:p>
    <w:p w:rsidR="00A8055D" w:rsidRPr="00A41E8E" w:rsidRDefault="00A8055D" w:rsidP="00A8055D">
      <w:pPr>
        <w:rPr>
          <w:sz w:val="28"/>
        </w:rPr>
      </w:pPr>
      <w:r w:rsidRPr="00A41E8E">
        <w:rPr>
          <w:sz w:val="28"/>
        </w:rPr>
        <w:t xml:space="preserve">где  </w:t>
      </w:r>
      <w:r w:rsidRPr="00A41E8E">
        <w:rPr>
          <w:sz w:val="28"/>
          <w:lang w:val="en-US"/>
        </w:rPr>
        <w:t>NPV</w:t>
      </w:r>
      <w:r w:rsidRPr="00A41E8E">
        <w:rPr>
          <w:sz w:val="28"/>
        </w:rPr>
        <w:t xml:space="preserve"> (</w:t>
      </w:r>
      <w:r w:rsidRPr="00A41E8E">
        <w:rPr>
          <w:sz w:val="28"/>
          <w:lang w:val="en-US"/>
        </w:rPr>
        <w:t>Net</w:t>
      </w:r>
      <w:r w:rsidRPr="00A41E8E">
        <w:rPr>
          <w:sz w:val="28"/>
        </w:rPr>
        <w:t xml:space="preserve"> </w:t>
      </w:r>
      <w:r w:rsidRPr="00A41E8E">
        <w:rPr>
          <w:sz w:val="28"/>
          <w:lang w:val="en-US"/>
        </w:rPr>
        <w:t>Present</w:t>
      </w:r>
      <w:r w:rsidRPr="00A41E8E">
        <w:rPr>
          <w:sz w:val="28"/>
        </w:rPr>
        <w:t xml:space="preserve"> </w:t>
      </w:r>
      <w:r w:rsidRPr="00A41E8E">
        <w:rPr>
          <w:sz w:val="28"/>
          <w:lang w:val="en-US"/>
        </w:rPr>
        <w:t>Value</w:t>
      </w:r>
      <w:r w:rsidRPr="00A41E8E">
        <w:rPr>
          <w:sz w:val="28"/>
        </w:rPr>
        <w:t>) - чистая текущая стоимость;</w:t>
      </w:r>
    </w:p>
    <w:p w:rsidR="00A8055D" w:rsidRDefault="00A8055D" w:rsidP="00A8055D">
      <w:pPr>
        <w:widowControl w:val="0"/>
        <w:rPr>
          <w:sz w:val="28"/>
        </w:rPr>
      </w:pPr>
      <w:r w:rsidRPr="00A41E8E">
        <w:rPr>
          <w:sz w:val="28"/>
        </w:rPr>
        <w:t xml:space="preserve">      </w:t>
      </w:r>
    </w:p>
    <w:p w:rsidR="00A8055D" w:rsidRPr="00A41E8E" w:rsidRDefault="00A8055D" w:rsidP="00A8055D">
      <w:pPr>
        <w:widowControl w:val="0"/>
        <w:rPr>
          <w:sz w:val="28"/>
        </w:rPr>
      </w:pPr>
      <w:r w:rsidRPr="00A41E8E">
        <w:rPr>
          <w:sz w:val="28"/>
        </w:rPr>
        <w:t xml:space="preserve"> </w:t>
      </w:r>
      <w:r>
        <w:rPr>
          <w:sz w:val="28"/>
        </w:rPr>
        <w:t xml:space="preserve">      </w:t>
      </w:r>
      <w:proofErr w:type="gramStart"/>
      <w:r w:rsidRPr="00A41E8E">
        <w:rPr>
          <w:sz w:val="28"/>
        </w:rPr>
        <w:t>С</w:t>
      </w:r>
      <w:proofErr w:type="spellStart"/>
      <w:proofErr w:type="gramEnd"/>
      <w:r w:rsidRPr="00A41E8E">
        <w:rPr>
          <w:sz w:val="28"/>
          <w:lang w:val="en-US"/>
        </w:rPr>
        <w:t>IF</w:t>
      </w:r>
      <w:r w:rsidRPr="00A41E8E">
        <w:rPr>
          <w:sz w:val="28"/>
          <w:vertAlign w:val="subscript"/>
          <w:lang w:val="en-US"/>
        </w:rPr>
        <w:t>t</w:t>
      </w:r>
      <w:proofErr w:type="spellEnd"/>
      <w:r w:rsidRPr="00A41E8E">
        <w:rPr>
          <w:sz w:val="28"/>
        </w:rPr>
        <w:t xml:space="preserve"> (</w:t>
      </w:r>
      <w:r w:rsidRPr="00A41E8E">
        <w:rPr>
          <w:sz w:val="28"/>
          <w:lang w:val="en-US"/>
        </w:rPr>
        <w:t>Cash</w:t>
      </w:r>
      <w:r w:rsidRPr="00A41E8E">
        <w:rPr>
          <w:sz w:val="28"/>
        </w:rPr>
        <w:t xml:space="preserve"> </w:t>
      </w:r>
      <w:r w:rsidRPr="00A41E8E">
        <w:rPr>
          <w:sz w:val="28"/>
          <w:lang w:val="en-US"/>
        </w:rPr>
        <w:t>Input</w:t>
      </w:r>
      <w:r w:rsidRPr="00A41E8E">
        <w:rPr>
          <w:sz w:val="28"/>
        </w:rPr>
        <w:t xml:space="preserve"> </w:t>
      </w:r>
      <w:r w:rsidRPr="00A41E8E">
        <w:rPr>
          <w:sz w:val="28"/>
          <w:lang w:val="en-US"/>
        </w:rPr>
        <w:t>Flow</w:t>
      </w:r>
      <w:r w:rsidRPr="00A41E8E">
        <w:rPr>
          <w:sz w:val="28"/>
        </w:rPr>
        <w:t xml:space="preserve">) - поступления денежных средств на </w:t>
      </w:r>
      <w:r w:rsidRPr="00A41E8E">
        <w:rPr>
          <w:i/>
          <w:sz w:val="28"/>
          <w:lang w:val="en-US"/>
        </w:rPr>
        <w:t>t</w:t>
      </w:r>
      <w:r w:rsidRPr="00A41E8E">
        <w:rPr>
          <w:i/>
          <w:sz w:val="28"/>
        </w:rPr>
        <w:t>-</w:t>
      </w:r>
      <w:proofErr w:type="spellStart"/>
      <w:r w:rsidRPr="00A41E8E">
        <w:rPr>
          <w:sz w:val="28"/>
        </w:rPr>
        <w:t>ом</w:t>
      </w:r>
      <w:proofErr w:type="spellEnd"/>
      <w:r w:rsidRPr="00A41E8E">
        <w:rPr>
          <w:sz w:val="28"/>
        </w:rPr>
        <w:t xml:space="preserve"> шаге </w:t>
      </w:r>
    </w:p>
    <w:p w:rsidR="00A8055D" w:rsidRPr="00510C8D" w:rsidRDefault="00A8055D" w:rsidP="00A8055D">
      <w:pPr>
        <w:widowControl w:val="0"/>
        <w:ind w:firstLine="708"/>
        <w:rPr>
          <w:sz w:val="28"/>
        </w:rPr>
      </w:pPr>
      <w:r w:rsidRPr="00A41E8E">
        <w:rPr>
          <w:sz w:val="28"/>
        </w:rPr>
        <w:t xml:space="preserve">                                      расчета, образующие  входной денежный поток;</w:t>
      </w:r>
    </w:p>
    <w:p w:rsidR="00A8055D" w:rsidRPr="00510C8D" w:rsidRDefault="00A8055D" w:rsidP="00A8055D">
      <w:pPr>
        <w:widowControl w:val="0"/>
        <w:ind w:firstLine="708"/>
        <w:rPr>
          <w:sz w:val="28"/>
        </w:rPr>
      </w:pPr>
    </w:p>
    <w:p w:rsidR="00A8055D" w:rsidRPr="00A41E8E" w:rsidRDefault="00A8055D" w:rsidP="00A8055D">
      <w:pPr>
        <w:widowControl w:val="0"/>
        <w:rPr>
          <w:sz w:val="28"/>
        </w:rPr>
      </w:pPr>
      <w:r w:rsidRPr="00A41E8E">
        <w:rPr>
          <w:sz w:val="28"/>
        </w:rPr>
        <w:t xml:space="preserve"> </w:t>
      </w:r>
      <w:r>
        <w:rPr>
          <w:sz w:val="28"/>
        </w:rPr>
        <w:t xml:space="preserve">     </w:t>
      </w:r>
      <w:proofErr w:type="spellStart"/>
      <w:r w:rsidRPr="00A41E8E">
        <w:rPr>
          <w:sz w:val="28"/>
          <w:lang w:val="en-US"/>
        </w:rPr>
        <w:t>COF</w:t>
      </w:r>
      <w:r w:rsidRPr="00A41E8E">
        <w:rPr>
          <w:sz w:val="28"/>
          <w:vertAlign w:val="subscript"/>
          <w:lang w:val="en-US"/>
        </w:rPr>
        <w:t>t</w:t>
      </w:r>
      <w:proofErr w:type="spellEnd"/>
      <w:r w:rsidRPr="00A41E8E">
        <w:rPr>
          <w:sz w:val="28"/>
        </w:rPr>
        <w:t xml:space="preserve"> (</w:t>
      </w:r>
      <w:r w:rsidRPr="00A41E8E">
        <w:rPr>
          <w:sz w:val="28"/>
          <w:lang w:val="en-US"/>
        </w:rPr>
        <w:t>Cash</w:t>
      </w:r>
      <w:r w:rsidRPr="00A41E8E">
        <w:rPr>
          <w:sz w:val="28"/>
        </w:rPr>
        <w:t xml:space="preserve"> </w:t>
      </w:r>
      <w:r w:rsidRPr="00A41E8E">
        <w:rPr>
          <w:sz w:val="28"/>
          <w:lang w:val="en-US"/>
        </w:rPr>
        <w:t>Output</w:t>
      </w:r>
      <w:r w:rsidRPr="00A41E8E">
        <w:rPr>
          <w:sz w:val="28"/>
        </w:rPr>
        <w:t xml:space="preserve"> </w:t>
      </w:r>
      <w:r w:rsidRPr="00A41E8E">
        <w:rPr>
          <w:sz w:val="28"/>
          <w:lang w:val="en-US"/>
        </w:rPr>
        <w:t>Flow</w:t>
      </w:r>
      <w:r w:rsidRPr="00A41E8E">
        <w:rPr>
          <w:sz w:val="28"/>
        </w:rPr>
        <w:t>)</w:t>
      </w:r>
      <w:r w:rsidRPr="00A41E8E">
        <w:rPr>
          <w:i/>
          <w:sz w:val="28"/>
        </w:rPr>
        <w:t xml:space="preserve"> -</w:t>
      </w:r>
      <w:r w:rsidRPr="00A41E8E">
        <w:rPr>
          <w:sz w:val="28"/>
        </w:rPr>
        <w:t xml:space="preserve"> выплаты денежных средств </w:t>
      </w:r>
      <w:r w:rsidRPr="00A41E8E">
        <w:rPr>
          <w:i/>
          <w:sz w:val="28"/>
          <w:lang w:val="en-US"/>
        </w:rPr>
        <w:t>t</w:t>
      </w:r>
      <w:r w:rsidRPr="00A41E8E">
        <w:rPr>
          <w:i/>
          <w:sz w:val="28"/>
        </w:rPr>
        <w:t>-</w:t>
      </w:r>
      <w:proofErr w:type="spellStart"/>
      <w:r w:rsidRPr="00A41E8E">
        <w:rPr>
          <w:sz w:val="28"/>
        </w:rPr>
        <w:t>ом</w:t>
      </w:r>
      <w:proofErr w:type="spellEnd"/>
      <w:r w:rsidRPr="00A41E8E">
        <w:rPr>
          <w:sz w:val="28"/>
        </w:rPr>
        <w:t xml:space="preserve"> шаге расчета, </w:t>
      </w:r>
    </w:p>
    <w:p w:rsidR="00A8055D" w:rsidRPr="00A41E8E" w:rsidRDefault="00A8055D" w:rsidP="00A8055D">
      <w:pPr>
        <w:widowControl w:val="0"/>
        <w:rPr>
          <w:sz w:val="28"/>
        </w:rPr>
      </w:pPr>
      <w:r w:rsidRPr="00A41E8E">
        <w:rPr>
          <w:sz w:val="28"/>
        </w:rPr>
        <w:t xml:space="preserve">                                                    образующие выходной денежный поток;</w:t>
      </w:r>
    </w:p>
    <w:p w:rsidR="00A8055D" w:rsidRPr="00A41E8E" w:rsidRDefault="00A8055D" w:rsidP="00A8055D">
      <w:pPr>
        <w:widowControl w:val="0"/>
        <w:rPr>
          <w:sz w:val="28"/>
        </w:rPr>
      </w:pPr>
      <w:r>
        <w:rPr>
          <w:i/>
          <w:sz w:val="28"/>
        </w:rPr>
        <w:t xml:space="preserve">     </w:t>
      </w:r>
      <w:r w:rsidRPr="00A41E8E">
        <w:rPr>
          <w:i/>
          <w:sz w:val="28"/>
        </w:rPr>
        <w:t xml:space="preserve"> </w:t>
      </w:r>
      <w:r w:rsidRPr="00A41E8E">
        <w:rPr>
          <w:sz w:val="28"/>
          <w:lang w:val="en-US"/>
        </w:rPr>
        <w:t>R</w:t>
      </w:r>
      <w:r w:rsidRPr="00A41E8E">
        <w:rPr>
          <w:sz w:val="28"/>
        </w:rPr>
        <w:t xml:space="preserve">- </w:t>
      </w:r>
      <w:proofErr w:type="gramStart"/>
      <w:r w:rsidRPr="00A41E8E">
        <w:rPr>
          <w:sz w:val="28"/>
        </w:rPr>
        <w:t>норма</w:t>
      </w:r>
      <w:proofErr w:type="gramEnd"/>
      <w:r w:rsidRPr="00A41E8E">
        <w:rPr>
          <w:sz w:val="28"/>
        </w:rPr>
        <w:t xml:space="preserve"> дисконта;</w:t>
      </w:r>
    </w:p>
    <w:p w:rsidR="00A8055D" w:rsidRPr="00A41E8E" w:rsidRDefault="00A8055D" w:rsidP="00A8055D">
      <w:pPr>
        <w:widowControl w:val="0"/>
        <w:rPr>
          <w:sz w:val="28"/>
        </w:rPr>
      </w:pPr>
      <w:r>
        <w:rPr>
          <w:sz w:val="28"/>
        </w:rPr>
        <w:t xml:space="preserve">      </w:t>
      </w:r>
      <w:r w:rsidRPr="00A41E8E">
        <w:rPr>
          <w:sz w:val="28"/>
        </w:rPr>
        <w:t>Т – горизонт расчета.</w:t>
      </w:r>
    </w:p>
    <w:p w:rsidR="00A8055D" w:rsidRPr="00A41E8E" w:rsidRDefault="00A8055D" w:rsidP="00A8055D">
      <w:pPr>
        <w:widowControl w:val="0"/>
        <w:ind w:firstLine="567"/>
        <w:rPr>
          <w:sz w:val="28"/>
        </w:rPr>
      </w:pPr>
    </w:p>
    <w:p w:rsidR="00A8055D" w:rsidRPr="00A41E8E" w:rsidRDefault="00A8055D" w:rsidP="00A8055D">
      <w:pPr>
        <w:widowControl w:val="0"/>
        <w:ind w:firstLine="567"/>
        <w:rPr>
          <w:sz w:val="28"/>
        </w:rPr>
      </w:pPr>
      <w:r w:rsidRPr="00A41E8E">
        <w:rPr>
          <w:sz w:val="28"/>
        </w:rPr>
        <w:t>Если инвестиции в проект производятся единовременно, то формула может быть представлена следующим образом:</w:t>
      </w:r>
    </w:p>
    <w:p w:rsidR="00A8055D" w:rsidRPr="00A41E8E" w:rsidRDefault="00A8055D" w:rsidP="00A8055D">
      <w:pPr>
        <w:widowControl w:val="0"/>
        <w:ind w:firstLine="567"/>
        <w:jc w:val="center"/>
        <w:rPr>
          <w:sz w:val="28"/>
        </w:rPr>
      </w:pPr>
      <w:r w:rsidRPr="00D7411D">
        <w:rPr>
          <w:position w:val="-38"/>
        </w:rPr>
        <w:object w:dxaOrig="2720" w:dyaOrig="840">
          <v:shape id="_x0000_i1026" type="#_x0000_t75" style="width:136.15pt;height:42.05pt" o:ole="">
            <v:imagedata r:id="rId7" o:title=""/>
          </v:shape>
          <o:OLEObject Type="Embed" ProgID="Equation.3" ShapeID="_x0000_i1026" DrawAspect="Content" ObjectID="_1552462166" r:id="rId8"/>
        </w:object>
      </w:r>
      <w:r w:rsidRPr="00D7411D">
        <w:t>,</w:t>
      </w:r>
      <w:r>
        <w:t xml:space="preserve">                    (2)</w:t>
      </w:r>
    </w:p>
    <w:p w:rsidR="00A8055D" w:rsidRPr="00A41E8E" w:rsidRDefault="00A8055D" w:rsidP="00A8055D">
      <w:pPr>
        <w:widowControl w:val="0"/>
        <w:spacing w:before="120"/>
        <w:rPr>
          <w:sz w:val="28"/>
        </w:rPr>
      </w:pPr>
      <w:proofErr w:type="gramStart"/>
      <w:r w:rsidRPr="00A41E8E">
        <w:rPr>
          <w:sz w:val="28"/>
        </w:rPr>
        <w:t xml:space="preserve">где </w:t>
      </w:r>
      <w:r w:rsidRPr="00A41E8E">
        <w:rPr>
          <w:position w:val="-12"/>
          <w:sz w:val="28"/>
        </w:rPr>
        <w:object w:dxaOrig="680" w:dyaOrig="380">
          <v:shape id="_x0000_i1027" type="#_x0000_t75" style="width:32.8pt;height:18.55pt" o:ole="" fillcolor="window">
            <v:imagedata r:id="rId9" o:title=""/>
          </v:shape>
          <o:OLEObject Type="Embed" ProgID="Equation.3" ShapeID="_x0000_i1027" DrawAspect="Content" ObjectID="_1552462167" r:id="rId10"/>
        </w:object>
      </w:r>
      <w:r w:rsidRPr="00A41E8E">
        <w:rPr>
          <w:sz w:val="28"/>
        </w:rPr>
        <w:t xml:space="preserve"> - чистый денежный поток на </w:t>
      </w:r>
      <w:r w:rsidRPr="00A41E8E">
        <w:rPr>
          <w:sz w:val="28"/>
          <w:lang w:val="en-US"/>
        </w:rPr>
        <w:t>t</w:t>
      </w:r>
      <w:r w:rsidRPr="00A41E8E">
        <w:rPr>
          <w:sz w:val="28"/>
        </w:rPr>
        <w:t>-</w:t>
      </w:r>
      <w:proofErr w:type="spellStart"/>
      <w:r w:rsidRPr="00A41E8E">
        <w:rPr>
          <w:sz w:val="28"/>
        </w:rPr>
        <w:t>ом</w:t>
      </w:r>
      <w:proofErr w:type="spellEnd"/>
      <w:r w:rsidRPr="00A41E8E">
        <w:rPr>
          <w:sz w:val="28"/>
        </w:rPr>
        <w:t xml:space="preserve"> шаге расчета (разность входного </w:t>
      </w:r>
      <w:proofErr w:type="gramEnd"/>
    </w:p>
    <w:p w:rsidR="00A8055D" w:rsidRPr="00A41E8E" w:rsidRDefault="00A8055D" w:rsidP="00A8055D">
      <w:pPr>
        <w:widowControl w:val="0"/>
        <w:rPr>
          <w:sz w:val="28"/>
        </w:rPr>
      </w:pPr>
      <w:r w:rsidRPr="00A41E8E">
        <w:rPr>
          <w:sz w:val="28"/>
        </w:rPr>
        <w:t xml:space="preserve">                   (</w:t>
      </w:r>
      <w:proofErr w:type="gramStart"/>
      <w:r w:rsidRPr="00A41E8E">
        <w:rPr>
          <w:sz w:val="28"/>
        </w:rPr>
        <w:t>С</w:t>
      </w:r>
      <w:proofErr w:type="spellStart"/>
      <w:proofErr w:type="gramEnd"/>
      <w:r w:rsidRPr="00A41E8E">
        <w:rPr>
          <w:sz w:val="28"/>
          <w:lang w:val="en-US"/>
        </w:rPr>
        <w:t>IF</w:t>
      </w:r>
      <w:r w:rsidRPr="00A41E8E">
        <w:rPr>
          <w:sz w:val="28"/>
          <w:vertAlign w:val="subscript"/>
          <w:lang w:val="en-US"/>
        </w:rPr>
        <w:t>t</w:t>
      </w:r>
      <w:proofErr w:type="spellEnd"/>
      <w:r w:rsidRPr="00A41E8E">
        <w:rPr>
          <w:sz w:val="28"/>
        </w:rPr>
        <w:t>) и выходного (</w:t>
      </w:r>
      <w:proofErr w:type="spellStart"/>
      <w:r w:rsidRPr="00A41E8E">
        <w:rPr>
          <w:sz w:val="28"/>
          <w:lang w:val="en-US"/>
        </w:rPr>
        <w:t>COF</w:t>
      </w:r>
      <w:r w:rsidRPr="00A41E8E">
        <w:rPr>
          <w:sz w:val="28"/>
          <w:vertAlign w:val="subscript"/>
          <w:lang w:val="en-US"/>
        </w:rPr>
        <w:t>t</w:t>
      </w:r>
      <w:proofErr w:type="spellEnd"/>
      <w:r w:rsidRPr="00A41E8E">
        <w:rPr>
          <w:sz w:val="28"/>
        </w:rPr>
        <w:t>) денежных потоков);</w:t>
      </w:r>
    </w:p>
    <w:p w:rsidR="00A8055D" w:rsidRPr="00A41E8E" w:rsidRDefault="00A8055D" w:rsidP="00A8055D">
      <w:pPr>
        <w:widowControl w:val="0"/>
        <w:rPr>
          <w:sz w:val="28"/>
        </w:rPr>
      </w:pPr>
      <w:r>
        <w:rPr>
          <w:sz w:val="28"/>
        </w:rPr>
        <w:t xml:space="preserve">     </w:t>
      </w:r>
      <w:r w:rsidRPr="00A41E8E">
        <w:rPr>
          <w:sz w:val="28"/>
        </w:rPr>
        <w:t xml:space="preserve">  </w:t>
      </w:r>
      <w:r w:rsidRPr="00A41E8E">
        <w:rPr>
          <w:position w:val="-12"/>
          <w:sz w:val="28"/>
        </w:rPr>
        <w:object w:dxaOrig="300" w:dyaOrig="380">
          <v:shape id="_x0000_i1028" type="#_x0000_t75" style="width:14.25pt;height:18.55pt" o:ole="">
            <v:imagedata r:id="rId11" o:title=""/>
          </v:shape>
          <o:OLEObject Type="Embed" ProgID="Equation.3" ShapeID="_x0000_i1028" DrawAspect="Content" ObjectID="_1552462168" r:id="rId12"/>
        </w:object>
      </w:r>
      <w:r w:rsidRPr="00A41E8E">
        <w:rPr>
          <w:sz w:val="28"/>
        </w:rPr>
        <w:t xml:space="preserve"> - единовременные инвестиции в проект.</w:t>
      </w:r>
    </w:p>
    <w:p w:rsidR="00A8055D" w:rsidRPr="00A41E8E" w:rsidRDefault="00A8055D" w:rsidP="00A8055D">
      <w:pPr>
        <w:ind w:firstLine="567"/>
        <w:rPr>
          <w:sz w:val="28"/>
        </w:rPr>
      </w:pPr>
    </w:p>
    <w:p w:rsidR="00A8055D" w:rsidRPr="00A41E8E" w:rsidRDefault="00A8055D" w:rsidP="00A8055D">
      <w:pPr>
        <w:ind w:firstLine="567"/>
        <w:jc w:val="both"/>
        <w:rPr>
          <w:sz w:val="28"/>
        </w:rPr>
      </w:pPr>
      <w:r w:rsidRPr="00A41E8E">
        <w:rPr>
          <w:sz w:val="28"/>
        </w:rPr>
        <w:t xml:space="preserve">Положительное значение </w:t>
      </w:r>
      <w:r w:rsidRPr="00A41E8E">
        <w:rPr>
          <w:sz w:val="28"/>
          <w:lang w:val="en-US"/>
        </w:rPr>
        <w:t>NPV</w:t>
      </w:r>
      <w:r w:rsidRPr="00A41E8E">
        <w:rPr>
          <w:sz w:val="28"/>
        </w:rPr>
        <w:t xml:space="preserve"> свидетельствует о целесообразности принятия решения о финансировании проекта, а при сравнении альтернативных проектов предпочтение отдается проекту с большей величиной этого показателя. </w:t>
      </w:r>
    </w:p>
    <w:p w:rsidR="00A8055D" w:rsidRPr="00F73DE8" w:rsidRDefault="00A8055D" w:rsidP="00A8055D">
      <w:pPr>
        <w:ind w:firstLine="567"/>
        <w:jc w:val="both"/>
        <w:rPr>
          <w:sz w:val="28"/>
        </w:rPr>
      </w:pPr>
      <w:r w:rsidRPr="00F73DE8">
        <w:rPr>
          <w:bCs/>
          <w:sz w:val="28"/>
        </w:rPr>
        <w:t>Преимуществом</w:t>
      </w:r>
      <w:r>
        <w:rPr>
          <w:bCs/>
          <w:sz w:val="28"/>
        </w:rPr>
        <w:t xml:space="preserve"> показателя</w:t>
      </w:r>
      <w:r w:rsidRPr="00F73DE8">
        <w:rPr>
          <w:bCs/>
          <w:sz w:val="28"/>
        </w:rPr>
        <w:t xml:space="preserve"> </w:t>
      </w:r>
      <w:r w:rsidRPr="00F73DE8">
        <w:rPr>
          <w:bCs/>
          <w:sz w:val="28"/>
          <w:lang w:val="en-US"/>
        </w:rPr>
        <w:t>NPV</w:t>
      </w:r>
      <w:r>
        <w:rPr>
          <w:bCs/>
          <w:sz w:val="28"/>
        </w:rPr>
        <w:t xml:space="preserve"> является</w:t>
      </w:r>
      <w:r w:rsidRPr="00F73DE8">
        <w:rPr>
          <w:sz w:val="28"/>
        </w:rPr>
        <w:t xml:space="preserve"> </w:t>
      </w:r>
      <w:r w:rsidRPr="00A41E8E">
        <w:rPr>
          <w:sz w:val="28"/>
        </w:rPr>
        <w:t xml:space="preserve">наглядность, </w:t>
      </w:r>
      <w:r>
        <w:rPr>
          <w:sz w:val="28"/>
        </w:rPr>
        <w:t xml:space="preserve">т.к. </w:t>
      </w:r>
      <w:r w:rsidRPr="00A41E8E">
        <w:rPr>
          <w:sz w:val="28"/>
        </w:rPr>
        <w:t>он дает оценку</w:t>
      </w:r>
      <w:r>
        <w:rPr>
          <w:sz w:val="28"/>
        </w:rPr>
        <w:t xml:space="preserve"> эффективности</w:t>
      </w:r>
      <w:r w:rsidRPr="00A41E8E">
        <w:rPr>
          <w:sz w:val="28"/>
        </w:rPr>
        <w:t xml:space="preserve"> инвестиционного проекта непосредственно в денежных единицах. Кроме того, этот показатель </w:t>
      </w:r>
      <w:r w:rsidRPr="00A2782A">
        <w:rPr>
          <w:sz w:val="28"/>
        </w:rPr>
        <w:t xml:space="preserve">обладает свойством </w:t>
      </w:r>
      <w:proofErr w:type="spellStart"/>
      <w:r w:rsidRPr="00A2782A">
        <w:rPr>
          <w:sz w:val="28"/>
        </w:rPr>
        <w:t>аддитивности</w:t>
      </w:r>
      <w:proofErr w:type="spellEnd"/>
      <w:r w:rsidRPr="00A2782A">
        <w:rPr>
          <w:sz w:val="28"/>
        </w:rPr>
        <w:t xml:space="preserve">, что позволяет его использовать при формировании инвестиционного портфеля. </w:t>
      </w:r>
    </w:p>
    <w:p w:rsidR="00A8055D" w:rsidRPr="00F42DAF" w:rsidRDefault="00A8055D" w:rsidP="00A8055D">
      <w:pPr>
        <w:ind w:firstLine="567"/>
        <w:jc w:val="both"/>
        <w:rPr>
          <w:sz w:val="28"/>
        </w:rPr>
      </w:pPr>
      <w:r w:rsidRPr="00F73DE8">
        <w:rPr>
          <w:bCs/>
          <w:sz w:val="28"/>
        </w:rPr>
        <w:t>Недостатком</w:t>
      </w:r>
      <w:r w:rsidRPr="00A41E8E">
        <w:rPr>
          <w:sz w:val="28"/>
        </w:rPr>
        <w:t xml:space="preserve"> является сильная зависимость от значения ставки дисконтирования. Необоснованное увеличение ставки дисконтирования приводит к снижению </w:t>
      </w:r>
      <w:r w:rsidRPr="00A41E8E">
        <w:rPr>
          <w:sz w:val="28"/>
          <w:lang w:val="en-US"/>
        </w:rPr>
        <w:t>NPV</w:t>
      </w:r>
      <w:r w:rsidRPr="00A41E8E">
        <w:rPr>
          <w:i/>
          <w:sz w:val="28"/>
        </w:rPr>
        <w:t xml:space="preserve"> </w:t>
      </w:r>
      <w:r w:rsidRPr="00A41E8E">
        <w:rPr>
          <w:sz w:val="28"/>
        </w:rPr>
        <w:t xml:space="preserve">проекта, вплоть до отрицательных значений. При этом может </w:t>
      </w:r>
      <w:proofErr w:type="gramStart"/>
      <w:r w:rsidRPr="00A41E8E">
        <w:rPr>
          <w:sz w:val="28"/>
        </w:rPr>
        <w:t>быть</w:t>
      </w:r>
      <w:proofErr w:type="gramEnd"/>
      <w:r w:rsidRPr="00A41E8E">
        <w:rPr>
          <w:sz w:val="28"/>
        </w:rPr>
        <w:t xml:space="preserve"> отвергнут хороший проект.</w:t>
      </w:r>
      <w:r>
        <w:rPr>
          <w:sz w:val="28"/>
        </w:rPr>
        <w:t xml:space="preserve"> </w:t>
      </w:r>
    </w:p>
    <w:p w:rsidR="00A8055D" w:rsidRDefault="00A8055D" w:rsidP="00A8055D">
      <w:pPr>
        <w:jc w:val="both"/>
        <w:rPr>
          <w:sz w:val="28"/>
          <w:szCs w:val="28"/>
        </w:rPr>
      </w:pPr>
    </w:p>
    <w:p w:rsidR="00A8055D" w:rsidRPr="00A8055D" w:rsidRDefault="00A8055D" w:rsidP="00A8055D">
      <w:pPr>
        <w:rPr>
          <w:b/>
          <w:i/>
          <w:sz w:val="28"/>
        </w:rPr>
      </w:pPr>
      <w:r w:rsidRPr="00A8055D">
        <w:rPr>
          <w:b/>
          <w:i/>
          <w:sz w:val="28"/>
        </w:rPr>
        <w:t>Пример</w:t>
      </w:r>
    </w:p>
    <w:p w:rsidR="00A8055D" w:rsidRPr="00A41E8E" w:rsidRDefault="00A8055D" w:rsidP="00A8055D">
      <w:pPr>
        <w:ind w:firstLine="357"/>
        <w:jc w:val="center"/>
        <w:rPr>
          <w:b/>
          <w:color w:val="000000"/>
          <w:sz w:val="28"/>
        </w:rPr>
      </w:pPr>
    </w:p>
    <w:p w:rsidR="00A8055D" w:rsidRPr="00A41E8E" w:rsidRDefault="009C1813" w:rsidP="00A8055D">
      <w:pPr>
        <w:ind w:firstLine="357"/>
        <w:jc w:val="both"/>
        <w:rPr>
          <w:color w:val="000000"/>
          <w:sz w:val="28"/>
        </w:rPr>
      </w:pPr>
      <w:r>
        <w:rPr>
          <w:color w:val="000000"/>
          <w:sz w:val="28"/>
        </w:rPr>
        <w:t>Н</w:t>
      </w:r>
      <w:r w:rsidR="00A8055D" w:rsidRPr="00A41E8E">
        <w:rPr>
          <w:color w:val="000000"/>
          <w:sz w:val="28"/>
        </w:rPr>
        <w:t>еобходимо оценить экономическую эффективность инвестиционного проекта</w:t>
      </w:r>
      <w:r>
        <w:rPr>
          <w:color w:val="000000"/>
          <w:sz w:val="28"/>
        </w:rPr>
        <w:t xml:space="preserve"> на основе динамических показателей. </w:t>
      </w:r>
      <w:r w:rsidR="00A8055D" w:rsidRPr="00A41E8E">
        <w:rPr>
          <w:color w:val="000000"/>
          <w:sz w:val="28"/>
        </w:rPr>
        <w:t>Распределение чистого потока денежных средств (</w:t>
      </w:r>
      <w:r w:rsidR="00A8055D" w:rsidRPr="00A41E8E">
        <w:rPr>
          <w:color w:val="000000"/>
          <w:sz w:val="28"/>
          <w:lang w:val="en-US"/>
        </w:rPr>
        <w:t>NCF</w:t>
      </w:r>
      <w:r w:rsidR="00A8055D" w:rsidRPr="00A41E8E">
        <w:rPr>
          <w:color w:val="000000"/>
          <w:sz w:val="28"/>
        </w:rPr>
        <w:t xml:space="preserve">) по годам проектного периода представлено в </w:t>
      </w:r>
      <w:r w:rsidR="00A8055D" w:rsidRPr="00A8055D">
        <w:rPr>
          <w:color w:val="000000"/>
          <w:sz w:val="28"/>
        </w:rPr>
        <w:t>таблице 1</w:t>
      </w:r>
      <w:r w:rsidR="00A8055D">
        <w:rPr>
          <w:color w:val="000000"/>
          <w:sz w:val="28"/>
        </w:rPr>
        <w:t>.</w:t>
      </w:r>
    </w:p>
    <w:p w:rsidR="00A8055D" w:rsidRPr="00A41E8E" w:rsidRDefault="00A8055D" w:rsidP="00A8055D">
      <w:pPr>
        <w:rPr>
          <w:color w:val="000000"/>
          <w:sz w:val="28"/>
        </w:rPr>
      </w:pPr>
    </w:p>
    <w:p w:rsidR="00A8055D" w:rsidRPr="00A41E8E" w:rsidRDefault="00A8055D" w:rsidP="00A8055D">
      <w:pPr>
        <w:rPr>
          <w:color w:val="000000"/>
          <w:sz w:val="28"/>
        </w:rPr>
      </w:pPr>
      <w:r w:rsidRPr="00A41E8E">
        <w:rPr>
          <w:color w:val="000000"/>
          <w:sz w:val="28"/>
        </w:rPr>
        <w:t xml:space="preserve">Таблица </w:t>
      </w:r>
      <w:r>
        <w:rPr>
          <w:color w:val="000000"/>
          <w:sz w:val="28"/>
        </w:rPr>
        <w:t>1</w:t>
      </w:r>
      <w:r w:rsidRPr="00A41E8E">
        <w:rPr>
          <w:color w:val="000000"/>
          <w:sz w:val="28"/>
        </w:rPr>
        <w:t xml:space="preserve"> – Исходные данные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60"/>
        <w:gridCol w:w="5220"/>
      </w:tblGrid>
      <w:tr w:rsidR="00A8055D" w:rsidRPr="00A41E8E" w:rsidTr="00027777">
        <w:tc>
          <w:tcPr>
            <w:tcW w:w="1260" w:type="dxa"/>
            <w:vAlign w:val="center"/>
          </w:tcPr>
          <w:p w:rsidR="00A8055D" w:rsidRPr="00A41E8E" w:rsidRDefault="00A8055D" w:rsidP="00027777">
            <w:pPr>
              <w:jc w:val="center"/>
              <w:rPr>
                <w:color w:val="000000"/>
                <w:sz w:val="28"/>
              </w:rPr>
            </w:pPr>
            <w:r w:rsidRPr="00A41E8E">
              <w:rPr>
                <w:color w:val="000000"/>
                <w:sz w:val="28"/>
              </w:rPr>
              <w:t>Год</w:t>
            </w:r>
          </w:p>
        </w:tc>
        <w:tc>
          <w:tcPr>
            <w:tcW w:w="5220" w:type="dxa"/>
            <w:vAlign w:val="center"/>
          </w:tcPr>
          <w:p w:rsidR="00A8055D" w:rsidRPr="00A41E8E" w:rsidRDefault="00A8055D" w:rsidP="00027777">
            <w:pPr>
              <w:jc w:val="center"/>
              <w:rPr>
                <w:color w:val="000000"/>
                <w:sz w:val="28"/>
              </w:rPr>
            </w:pPr>
            <w:r w:rsidRPr="00A41E8E">
              <w:rPr>
                <w:color w:val="000000"/>
                <w:sz w:val="28"/>
              </w:rPr>
              <w:t>Чистый поток денежных средств (</w:t>
            </w:r>
            <w:r w:rsidRPr="00A41E8E">
              <w:rPr>
                <w:color w:val="000000"/>
                <w:sz w:val="28"/>
                <w:lang w:val="en-US"/>
              </w:rPr>
              <w:t>NCF</w:t>
            </w:r>
            <w:r w:rsidRPr="00A41E8E">
              <w:rPr>
                <w:color w:val="000000"/>
                <w:sz w:val="28"/>
              </w:rPr>
              <w:t>), тыс. руб.</w:t>
            </w:r>
          </w:p>
        </w:tc>
      </w:tr>
      <w:tr w:rsidR="00A8055D" w:rsidRPr="00A41E8E" w:rsidTr="00027777">
        <w:tc>
          <w:tcPr>
            <w:tcW w:w="1260" w:type="dxa"/>
          </w:tcPr>
          <w:p w:rsidR="00A8055D" w:rsidRPr="00A41E8E" w:rsidRDefault="00A8055D" w:rsidP="00027777">
            <w:pPr>
              <w:spacing w:before="100" w:beforeAutospacing="1" w:after="100" w:afterAutospacing="1"/>
              <w:jc w:val="center"/>
              <w:rPr>
                <w:color w:val="000000"/>
                <w:sz w:val="28"/>
              </w:rPr>
            </w:pPr>
            <w:r w:rsidRPr="00A41E8E">
              <w:rPr>
                <w:color w:val="000000"/>
                <w:sz w:val="28"/>
              </w:rPr>
              <w:t>1</w:t>
            </w:r>
          </w:p>
        </w:tc>
        <w:tc>
          <w:tcPr>
            <w:tcW w:w="5220" w:type="dxa"/>
          </w:tcPr>
          <w:p w:rsidR="00A8055D" w:rsidRPr="00A41E8E" w:rsidRDefault="00A8055D" w:rsidP="00027777">
            <w:pPr>
              <w:spacing w:before="100" w:beforeAutospacing="1" w:after="100" w:afterAutospacing="1"/>
              <w:jc w:val="center"/>
              <w:rPr>
                <w:color w:val="000000"/>
                <w:sz w:val="28"/>
                <w:lang w:val="en-US"/>
              </w:rPr>
            </w:pPr>
            <w:r w:rsidRPr="00A41E8E">
              <w:rPr>
                <w:color w:val="000000"/>
                <w:sz w:val="28"/>
                <w:lang w:val="en-US"/>
              </w:rPr>
              <w:t>550</w:t>
            </w:r>
          </w:p>
        </w:tc>
      </w:tr>
      <w:tr w:rsidR="00A8055D" w:rsidRPr="00A41E8E" w:rsidTr="00027777">
        <w:tc>
          <w:tcPr>
            <w:tcW w:w="1260" w:type="dxa"/>
          </w:tcPr>
          <w:p w:rsidR="00A8055D" w:rsidRPr="00A41E8E" w:rsidRDefault="00A8055D" w:rsidP="00027777">
            <w:pPr>
              <w:spacing w:before="100" w:beforeAutospacing="1" w:after="100" w:afterAutospacing="1"/>
              <w:jc w:val="center"/>
              <w:rPr>
                <w:color w:val="000000"/>
                <w:sz w:val="28"/>
              </w:rPr>
            </w:pPr>
            <w:r w:rsidRPr="00A41E8E">
              <w:rPr>
                <w:color w:val="000000"/>
                <w:sz w:val="28"/>
              </w:rPr>
              <w:t>2</w:t>
            </w:r>
          </w:p>
        </w:tc>
        <w:tc>
          <w:tcPr>
            <w:tcW w:w="5220" w:type="dxa"/>
          </w:tcPr>
          <w:p w:rsidR="00A8055D" w:rsidRPr="00A41E8E" w:rsidRDefault="00A8055D" w:rsidP="00027777">
            <w:pPr>
              <w:spacing w:before="100" w:beforeAutospacing="1" w:after="100" w:afterAutospacing="1"/>
              <w:jc w:val="center"/>
              <w:rPr>
                <w:color w:val="000000"/>
                <w:sz w:val="28"/>
                <w:lang w:val="en-US"/>
              </w:rPr>
            </w:pPr>
            <w:r w:rsidRPr="00A41E8E">
              <w:rPr>
                <w:color w:val="000000"/>
                <w:sz w:val="28"/>
                <w:lang w:val="en-US"/>
              </w:rPr>
              <w:t>1200</w:t>
            </w:r>
          </w:p>
        </w:tc>
      </w:tr>
      <w:tr w:rsidR="00A8055D" w:rsidRPr="00A41E8E" w:rsidTr="00027777">
        <w:tc>
          <w:tcPr>
            <w:tcW w:w="1260" w:type="dxa"/>
          </w:tcPr>
          <w:p w:rsidR="00A8055D" w:rsidRPr="00A41E8E" w:rsidRDefault="00A8055D" w:rsidP="00027777">
            <w:pPr>
              <w:spacing w:before="100" w:beforeAutospacing="1" w:after="100" w:afterAutospacing="1"/>
              <w:jc w:val="center"/>
              <w:rPr>
                <w:color w:val="000000"/>
                <w:sz w:val="28"/>
              </w:rPr>
            </w:pPr>
            <w:r w:rsidRPr="00A41E8E">
              <w:rPr>
                <w:color w:val="000000"/>
                <w:sz w:val="28"/>
              </w:rPr>
              <w:t>3</w:t>
            </w:r>
          </w:p>
        </w:tc>
        <w:tc>
          <w:tcPr>
            <w:tcW w:w="5220" w:type="dxa"/>
          </w:tcPr>
          <w:p w:rsidR="00A8055D" w:rsidRPr="00A41E8E" w:rsidRDefault="00A8055D" w:rsidP="00027777">
            <w:pPr>
              <w:spacing w:before="100" w:beforeAutospacing="1" w:after="100" w:afterAutospacing="1"/>
              <w:jc w:val="center"/>
              <w:rPr>
                <w:color w:val="000000"/>
                <w:sz w:val="28"/>
                <w:lang w:val="en-US"/>
              </w:rPr>
            </w:pPr>
            <w:r w:rsidRPr="00A41E8E">
              <w:rPr>
                <w:color w:val="000000"/>
                <w:sz w:val="28"/>
                <w:lang w:val="en-US"/>
              </w:rPr>
              <w:t>2400</w:t>
            </w:r>
          </w:p>
        </w:tc>
      </w:tr>
      <w:tr w:rsidR="00A8055D" w:rsidRPr="00A41E8E" w:rsidTr="00027777">
        <w:tc>
          <w:tcPr>
            <w:tcW w:w="1260" w:type="dxa"/>
          </w:tcPr>
          <w:p w:rsidR="00A8055D" w:rsidRPr="00A41E8E" w:rsidRDefault="00A8055D" w:rsidP="00027777">
            <w:pPr>
              <w:spacing w:before="100" w:beforeAutospacing="1" w:after="100" w:afterAutospacing="1"/>
              <w:jc w:val="center"/>
              <w:rPr>
                <w:color w:val="000000"/>
                <w:sz w:val="28"/>
              </w:rPr>
            </w:pPr>
            <w:r w:rsidRPr="00A41E8E">
              <w:rPr>
                <w:color w:val="000000"/>
                <w:sz w:val="28"/>
              </w:rPr>
              <w:t>4</w:t>
            </w:r>
          </w:p>
        </w:tc>
        <w:tc>
          <w:tcPr>
            <w:tcW w:w="5220" w:type="dxa"/>
          </w:tcPr>
          <w:p w:rsidR="00A8055D" w:rsidRPr="00A41E8E" w:rsidRDefault="00A8055D" w:rsidP="00027777">
            <w:pPr>
              <w:spacing w:before="100" w:beforeAutospacing="1" w:after="100" w:afterAutospacing="1"/>
              <w:jc w:val="center"/>
              <w:rPr>
                <w:color w:val="000000"/>
                <w:sz w:val="28"/>
              </w:rPr>
            </w:pPr>
            <w:r w:rsidRPr="00A41E8E">
              <w:rPr>
                <w:color w:val="000000"/>
                <w:sz w:val="28"/>
              </w:rPr>
              <w:t>3500</w:t>
            </w:r>
          </w:p>
        </w:tc>
      </w:tr>
    </w:tbl>
    <w:p w:rsidR="00A8055D" w:rsidRPr="00A8055D" w:rsidRDefault="00A8055D" w:rsidP="00A8055D">
      <w:pPr>
        <w:pStyle w:val="a4"/>
        <w:spacing w:line="20" w:lineRule="atLeast"/>
        <w:ind w:firstLine="708"/>
        <w:rPr>
          <w:i w:val="0"/>
          <w:color w:val="000000"/>
        </w:rPr>
      </w:pPr>
      <w:r w:rsidRPr="00A8055D">
        <w:rPr>
          <w:i w:val="0"/>
          <w:color w:val="000000"/>
        </w:rPr>
        <w:t>Инвестиции в проект осуществляются единовременно и составляют 3500 тыс. руб. Ставку дисконтирования принять равной 15%.</w:t>
      </w:r>
    </w:p>
    <w:p w:rsidR="00A8055D" w:rsidRDefault="00A8055D" w:rsidP="00A8055D">
      <w:pPr>
        <w:spacing w:line="20" w:lineRule="atLeast"/>
        <w:rPr>
          <w:b/>
          <w:color w:val="000000"/>
          <w:sz w:val="28"/>
        </w:rPr>
      </w:pPr>
    </w:p>
    <w:p w:rsidR="00A8055D" w:rsidRPr="00901209" w:rsidRDefault="00A8055D" w:rsidP="00A8055D">
      <w:pPr>
        <w:ind w:firstLine="567"/>
        <w:jc w:val="both"/>
        <w:rPr>
          <w:sz w:val="28"/>
        </w:rPr>
      </w:pPr>
      <w:r w:rsidRPr="00F42DAF">
        <w:rPr>
          <w:sz w:val="28"/>
        </w:rPr>
        <w:t>Рассмотрим расчет динамических показателей экономической эффективности</w:t>
      </w:r>
      <w:r>
        <w:rPr>
          <w:sz w:val="28"/>
        </w:rPr>
        <w:t xml:space="preserve"> в </w:t>
      </w:r>
      <w:r>
        <w:rPr>
          <w:sz w:val="28"/>
          <w:lang w:val="en-US"/>
        </w:rPr>
        <w:t>MS</w:t>
      </w:r>
      <w:r w:rsidRPr="00F42DAF">
        <w:rPr>
          <w:sz w:val="28"/>
        </w:rPr>
        <w:t xml:space="preserve"> </w:t>
      </w:r>
      <w:r>
        <w:rPr>
          <w:sz w:val="28"/>
          <w:lang w:val="en-US"/>
        </w:rPr>
        <w:t>Excel</w:t>
      </w:r>
      <w:r>
        <w:rPr>
          <w:sz w:val="28"/>
        </w:rPr>
        <w:t>.</w:t>
      </w:r>
    </w:p>
    <w:p w:rsidR="00A8055D" w:rsidRPr="00A41E8E" w:rsidRDefault="00A8055D" w:rsidP="00A8055D">
      <w:pPr>
        <w:numPr>
          <w:ilvl w:val="0"/>
          <w:numId w:val="4"/>
        </w:numPr>
        <w:rPr>
          <w:sz w:val="28"/>
        </w:rPr>
      </w:pPr>
      <w:r w:rsidRPr="00A41E8E">
        <w:rPr>
          <w:sz w:val="28"/>
        </w:rPr>
        <w:t>создание формы таблицы с исходными данными</w:t>
      </w:r>
      <w:r>
        <w:rPr>
          <w:sz w:val="28"/>
        </w:rPr>
        <w:t>:</w:t>
      </w:r>
    </w:p>
    <w:p w:rsidR="00A8055D" w:rsidRPr="00200639" w:rsidRDefault="00A8055D" w:rsidP="00A8055D">
      <w:pPr>
        <w:rPr>
          <w:lang w:val="en-US"/>
        </w:rPr>
      </w:pPr>
      <w:r w:rsidRPr="00200639">
        <w:object w:dxaOrig="8731" w:dyaOrig="2610">
          <v:shape id="_x0000_i1029" type="#_x0000_t75" style="width:434.85pt;height:129.75pt" o:ole="">
            <v:imagedata r:id="rId13" o:title=""/>
          </v:shape>
          <o:OLEObject Type="Embed" ProgID="PBrush" ShapeID="_x0000_i1029" DrawAspect="Content" ObjectID="_1552462169" r:id="rId14"/>
        </w:object>
      </w:r>
    </w:p>
    <w:p w:rsidR="00A8055D" w:rsidRDefault="00A8055D" w:rsidP="00A8055D">
      <w:pPr>
        <w:rPr>
          <w:lang w:val="en-US"/>
        </w:rPr>
      </w:pPr>
    </w:p>
    <w:p w:rsidR="00A8055D" w:rsidRPr="00A41E8E" w:rsidRDefault="00A8055D" w:rsidP="00A8055D">
      <w:pPr>
        <w:numPr>
          <w:ilvl w:val="0"/>
          <w:numId w:val="5"/>
        </w:numPr>
        <w:rPr>
          <w:sz w:val="28"/>
        </w:rPr>
      </w:pPr>
      <w:r w:rsidRPr="00A41E8E">
        <w:rPr>
          <w:sz w:val="28"/>
        </w:rPr>
        <w:t>расчет коэффициента дисконтирования:</w:t>
      </w:r>
    </w:p>
    <w:p w:rsidR="00A8055D" w:rsidRPr="00A41E8E" w:rsidRDefault="00A8055D" w:rsidP="00A8055D">
      <w:pPr>
        <w:rPr>
          <w:sz w:val="28"/>
        </w:rPr>
      </w:pPr>
      <w:r w:rsidRPr="00A41E8E">
        <w:rPr>
          <w:sz w:val="28"/>
        </w:rPr>
        <w:t xml:space="preserve">Коэффициент дисконтирования определяется по формуле: </w:t>
      </w:r>
    </w:p>
    <w:p w:rsidR="00A8055D" w:rsidRPr="00A41E8E" w:rsidRDefault="00A8055D" w:rsidP="00A8055D">
      <w:pPr>
        <w:jc w:val="center"/>
        <w:rPr>
          <w:sz w:val="28"/>
        </w:rPr>
      </w:pPr>
      <w:r w:rsidRPr="00A41E8E">
        <w:rPr>
          <w:position w:val="-36"/>
          <w:sz w:val="28"/>
          <w:lang w:val="en-US"/>
        </w:rPr>
        <w:object w:dxaOrig="1280" w:dyaOrig="800">
          <v:shape id="_x0000_i1035" type="#_x0000_t75" style="width:64.15pt;height:39.9pt" o:ole="">
            <v:imagedata r:id="rId15" o:title=""/>
          </v:shape>
          <o:OLEObject Type="Embed" ProgID="Equation.3" ShapeID="_x0000_i1035" DrawAspect="Content" ObjectID="_1552462170" r:id="rId16"/>
        </w:object>
      </w:r>
      <w:r w:rsidRPr="00A41E8E">
        <w:rPr>
          <w:sz w:val="28"/>
        </w:rPr>
        <w:t>,</w:t>
      </w:r>
      <w:r>
        <w:rPr>
          <w:sz w:val="28"/>
        </w:rPr>
        <w:t xml:space="preserve">                             (3)</w:t>
      </w:r>
    </w:p>
    <w:p w:rsidR="00A8055D" w:rsidRPr="00A41E8E" w:rsidRDefault="00A8055D" w:rsidP="00A8055D">
      <w:pPr>
        <w:rPr>
          <w:sz w:val="28"/>
        </w:rPr>
      </w:pPr>
      <w:r w:rsidRPr="00A41E8E">
        <w:rPr>
          <w:sz w:val="28"/>
        </w:rPr>
        <w:t xml:space="preserve">где </w:t>
      </w:r>
      <w:r w:rsidRPr="00A41E8E">
        <w:rPr>
          <w:sz w:val="28"/>
          <w:lang w:val="en-US"/>
        </w:rPr>
        <w:t>t</w:t>
      </w:r>
      <w:r w:rsidRPr="00A41E8E">
        <w:rPr>
          <w:sz w:val="28"/>
        </w:rPr>
        <w:t xml:space="preserve"> – шаг расчета </w:t>
      </w:r>
      <w:proofErr w:type="gramStart"/>
      <w:r w:rsidRPr="00A41E8E">
        <w:rPr>
          <w:sz w:val="28"/>
        </w:rPr>
        <w:t xml:space="preserve">( </w:t>
      </w:r>
      <w:proofErr w:type="gramEnd"/>
      <w:r w:rsidRPr="00A41E8E">
        <w:rPr>
          <w:sz w:val="28"/>
          <w:lang w:val="en-US"/>
        </w:rPr>
        <w:t>t</w:t>
      </w:r>
      <w:r w:rsidRPr="00A41E8E">
        <w:rPr>
          <w:sz w:val="28"/>
        </w:rPr>
        <w:t xml:space="preserve"> = 1, 2, 3 и т.д.),</w:t>
      </w:r>
    </w:p>
    <w:p w:rsidR="00A8055D" w:rsidRPr="00A41E8E" w:rsidRDefault="00A8055D" w:rsidP="00A8055D">
      <w:pPr>
        <w:rPr>
          <w:sz w:val="28"/>
        </w:rPr>
      </w:pPr>
      <w:r w:rsidRPr="00A41E8E">
        <w:rPr>
          <w:sz w:val="28"/>
        </w:rPr>
        <w:t xml:space="preserve">      </w:t>
      </w:r>
      <w:r w:rsidRPr="00A41E8E">
        <w:rPr>
          <w:sz w:val="28"/>
          <w:lang w:val="en-US"/>
        </w:rPr>
        <w:t>r</w:t>
      </w:r>
      <w:r w:rsidRPr="00A41E8E">
        <w:rPr>
          <w:sz w:val="28"/>
        </w:rPr>
        <w:t xml:space="preserve"> – </w:t>
      </w:r>
      <w:proofErr w:type="gramStart"/>
      <w:r w:rsidRPr="00A41E8E">
        <w:rPr>
          <w:sz w:val="28"/>
        </w:rPr>
        <w:t>норма</w:t>
      </w:r>
      <w:proofErr w:type="gramEnd"/>
      <w:r w:rsidRPr="00A41E8E">
        <w:rPr>
          <w:sz w:val="28"/>
        </w:rPr>
        <w:t xml:space="preserve"> дисконта.</w:t>
      </w:r>
    </w:p>
    <w:p w:rsidR="00A8055D" w:rsidRDefault="00A8055D" w:rsidP="00A8055D">
      <w:pPr>
        <w:rPr>
          <w:sz w:val="28"/>
        </w:rPr>
      </w:pPr>
    </w:p>
    <w:p w:rsidR="00A8055D" w:rsidRPr="00A41E8E" w:rsidRDefault="00A8055D" w:rsidP="00A8055D">
      <w:pPr>
        <w:rPr>
          <w:b/>
          <w:sz w:val="28"/>
        </w:rPr>
      </w:pPr>
      <w:r w:rsidRPr="00A41E8E">
        <w:rPr>
          <w:sz w:val="28"/>
        </w:rPr>
        <w:t xml:space="preserve">Для этого в ячейку </w:t>
      </w:r>
      <w:r w:rsidRPr="00A41E8E">
        <w:rPr>
          <w:b/>
          <w:bCs/>
          <w:sz w:val="28"/>
          <w:lang w:val="en-US"/>
        </w:rPr>
        <w:t>B</w:t>
      </w:r>
      <w:r w:rsidRPr="00A41E8E">
        <w:rPr>
          <w:b/>
          <w:bCs/>
          <w:sz w:val="28"/>
        </w:rPr>
        <w:t>10</w:t>
      </w:r>
      <w:r w:rsidRPr="00A41E8E">
        <w:rPr>
          <w:sz w:val="28"/>
        </w:rPr>
        <w:t xml:space="preserve"> необходимо ввести формулу расчета коэффициента дисконтирования, указав ссылки на соответствующие ячейки, причем ссылка на ячейку </w:t>
      </w:r>
      <w:r w:rsidRPr="00A41E8E">
        <w:rPr>
          <w:b/>
          <w:bCs/>
          <w:sz w:val="28"/>
        </w:rPr>
        <w:t>В</w:t>
      </w:r>
      <w:proofErr w:type="gramStart"/>
      <w:r w:rsidRPr="00A41E8E">
        <w:rPr>
          <w:b/>
          <w:bCs/>
          <w:sz w:val="28"/>
        </w:rPr>
        <w:t>4</w:t>
      </w:r>
      <w:proofErr w:type="gramEnd"/>
      <w:r w:rsidRPr="00A41E8E">
        <w:rPr>
          <w:sz w:val="28"/>
        </w:rPr>
        <w:t xml:space="preserve"> должна быть преобразована в абсолютную ссылку. Для этого необходимо нажать на клавиатуре кнопку</w:t>
      </w:r>
      <w:r w:rsidRPr="00A41E8E">
        <w:rPr>
          <w:b/>
          <w:sz w:val="28"/>
        </w:rPr>
        <w:t xml:space="preserve"> «</w:t>
      </w:r>
      <w:r w:rsidRPr="00A41E8E">
        <w:rPr>
          <w:b/>
          <w:sz w:val="28"/>
          <w:lang w:val="en-US"/>
        </w:rPr>
        <w:t>F</w:t>
      </w:r>
      <w:r w:rsidRPr="00A41E8E">
        <w:rPr>
          <w:b/>
          <w:sz w:val="28"/>
        </w:rPr>
        <w:t>4».</w:t>
      </w:r>
    </w:p>
    <w:p w:rsidR="00A8055D" w:rsidRPr="00A41E8E" w:rsidRDefault="00A8055D" w:rsidP="00A8055D">
      <w:pPr>
        <w:rPr>
          <w:b/>
          <w:sz w:val="28"/>
        </w:rPr>
      </w:pPr>
    </w:p>
    <w:p w:rsidR="00A8055D" w:rsidRPr="00200639" w:rsidRDefault="00A8055D" w:rsidP="00A8055D">
      <w:pPr>
        <w:rPr>
          <w:b/>
          <w:lang w:val="en-US"/>
        </w:rPr>
      </w:pPr>
      <w:r w:rsidRPr="00200639">
        <w:object w:dxaOrig="8701" w:dyaOrig="2850">
          <v:shape id="_x0000_i1030" type="#_x0000_t75" style="width:434.85pt;height:142.55pt" o:ole="" o:bordertopcolor="this" o:borderleftcolor="this" o:borderbottomcolor="this" o:borderrightcolor="this">
            <v:imagedata r:id="rId17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PBrush" ShapeID="_x0000_i1030" DrawAspect="Content" ObjectID="_1552462171" r:id="rId18"/>
        </w:object>
      </w:r>
    </w:p>
    <w:p w:rsidR="00A8055D" w:rsidRPr="00200639" w:rsidRDefault="00A8055D" w:rsidP="00A8055D">
      <w:pPr>
        <w:rPr>
          <w:b/>
          <w:lang w:val="en-US"/>
        </w:rPr>
      </w:pPr>
    </w:p>
    <w:p w:rsidR="00A8055D" w:rsidRPr="00A41E8E" w:rsidRDefault="00A8055D" w:rsidP="00A8055D">
      <w:pPr>
        <w:jc w:val="both"/>
        <w:rPr>
          <w:sz w:val="28"/>
        </w:rPr>
      </w:pPr>
      <w:r w:rsidRPr="00A41E8E">
        <w:rPr>
          <w:sz w:val="28"/>
        </w:rPr>
        <w:t xml:space="preserve">Далее растянуть введенную формулу на диапазон клеток </w:t>
      </w:r>
      <w:r w:rsidRPr="00A41E8E">
        <w:rPr>
          <w:b/>
          <w:bCs/>
          <w:sz w:val="28"/>
        </w:rPr>
        <w:t>С10:Е10</w:t>
      </w:r>
      <w:r w:rsidRPr="00A41E8E">
        <w:rPr>
          <w:sz w:val="28"/>
        </w:rPr>
        <w:t xml:space="preserve">. </w:t>
      </w:r>
    </w:p>
    <w:p w:rsidR="00A8055D" w:rsidRPr="00A41E8E" w:rsidRDefault="00A8055D" w:rsidP="00A8055D">
      <w:pPr>
        <w:jc w:val="both"/>
        <w:rPr>
          <w:sz w:val="28"/>
        </w:rPr>
      </w:pPr>
      <w:r w:rsidRPr="00A41E8E">
        <w:rPr>
          <w:sz w:val="28"/>
        </w:rPr>
        <w:t>В результате получим:</w:t>
      </w:r>
    </w:p>
    <w:p w:rsidR="00A8055D" w:rsidRPr="00200639" w:rsidRDefault="00A8055D" w:rsidP="00A8055D">
      <w:pPr>
        <w:rPr>
          <w:lang w:val="en-US"/>
        </w:rPr>
      </w:pPr>
    </w:p>
    <w:p w:rsidR="00A8055D" w:rsidRDefault="00A8055D" w:rsidP="00A8055D">
      <w:pPr>
        <w:rPr>
          <w:lang w:val="en-US"/>
        </w:rPr>
      </w:pPr>
      <w:r>
        <w:object w:dxaOrig="8714" w:dyaOrig="2820">
          <v:shape id="_x0000_i1031" type="#_x0000_t75" style="width:435.55pt;height:141.15pt" o:ole="" o:bordertopcolor="this" o:borderleftcolor="this" o:borderbottomcolor="this" o:borderrightcolor="this">
            <v:imagedata r:id="rId19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PBrush" ShapeID="_x0000_i1031" DrawAspect="Content" ObjectID="_1552462172" r:id="rId20"/>
        </w:object>
      </w:r>
    </w:p>
    <w:p w:rsidR="00A8055D" w:rsidRPr="00A41E8E" w:rsidRDefault="00A8055D" w:rsidP="00A8055D">
      <w:pPr>
        <w:numPr>
          <w:ilvl w:val="0"/>
          <w:numId w:val="6"/>
        </w:numPr>
        <w:jc w:val="both"/>
        <w:rPr>
          <w:bCs/>
          <w:sz w:val="28"/>
        </w:rPr>
      </w:pPr>
      <w:r w:rsidRPr="00A41E8E">
        <w:rPr>
          <w:bCs/>
          <w:sz w:val="28"/>
        </w:rPr>
        <w:t>Расчет дисконтированного чистого потока денежных средств:</w:t>
      </w:r>
    </w:p>
    <w:p w:rsidR="00A8055D" w:rsidRDefault="00A8055D" w:rsidP="00A8055D"/>
    <w:p w:rsidR="00A8055D" w:rsidRPr="00A41E8E" w:rsidRDefault="00A8055D" w:rsidP="00A8055D">
      <w:pPr>
        <w:rPr>
          <w:sz w:val="28"/>
        </w:rPr>
      </w:pPr>
      <w:r w:rsidRPr="00A41E8E">
        <w:rPr>
          <w:sz w:val="28"/>
        </w:rPr>
        <w:lastRenderedPageBreak/>
        <w:t xml:space="preserve">Для этого в ячейку </w:t>
      </w:r>
      <w:r w:rsidRPr="00A41E8E">
        <w:rPr>
          <w:b/>
          <w:bCs/>
          <w:sz w:val="28"/>
        </w:rPr>
        <w:t>В11</w:t>
      </w:r>
      <w:r w:rsidRPr="00A41E8E">
        <w:rPr>
          <w:sz w:val="28"/>
        </w:rPr>
        <w:t xml:space="preserve"> введем следующую формулу: = В</w:t>
      </w:r>
      <w:proofErr w:type="gramStart"/>
      <w:r w:rsidRPr="00A41E8E">
        <w:rPr>
          <w:sz w:val="28"/>
        </w:rPr>
        <w:t>9</w:t>
      </w:r>
      <w:proofErr w:type="gramEnd"/>
      <w:r w:rsidRPr="00A41E8E">
        <w:rPr>
          <w:sz w:val="28"/>
        </w:rPr>
        <w:t>*В10</w:t>
      </w:r>
    </w:p>
    <w:p w:rsidR="00A8055D" w:rsidRPr="00200639" w:rsidRDefault="00A8055D" w:rsidP="00A8055D">
      <w:pPr>
        <w:rPr>
          <w:lang w:val="en-US"/>
        </w:rPr>
      </w:pPr>
      <w:r w:rsidRPr="00200639">
        <w:object w:dxaOrig="8731" w:dyaOrig="3090">
          <v:shape id="_x0000_i1032" type="#_x0000_t75" style="width:434.85pt;height:154.7pt" o:ole="">
            <v:imagedata r:id="rId21" o:title=""/>
          </v:shape>
          <o:OLEObject Type="Embed" ProgID="PBrush" ShapeID="_x0000_i1032" DrawAspect="Content" ObjectID="_1552462173" r:id="rId22"/>
        </w:object>
      </w:r>
    </w:p>
    <w:p w:rsidR="00A8055D" w:rsidRPr="00200639" w:rsidRDefault="00A8055D" w:rsidP="00A8055D">
      <w:pPr>
        <w:rPr>
          <w:lang w:val="en-US"/>
        </w:rPr>
      </w:pPr>
    </w:p>
    <w:p w:rsidR="00A8055D" w:rsidRPr="00A41E8E" w:rsidRDefault="00A8055D" w:rsidP="00A8055D">
      <w:pPr>
        <w:jc w:val="both"/>
        <w:rPr>
          <w:sz w:val="28"/>
        </w:rPr>
      </w:pPr>
      <w:r w:rsidRPr="00A41E8E">
        <w:rPr>
          <w:sz w:val="28"/>
        </w:rPr>
        <w:t xml:space="preserve">Растянуть введенную формулу на весь диапазон ячеек </w:t>
      </w:r>
      <w:r w:rsidRPr="00A41E8E">
        <w:rPr>
          <w:b/>
          <w:bCs/>
          <w:sz w:val="28"/>
        </w:rPr>
        <w:t>С11:Е11.</w:t>
      </w:r>
      <w:r w:rsidRPr="00A41E8E">
        <w:rPr>
          <w:sz w:val="28"/>
        </w:rPr>
        <w:t xml:space="preserve"> Для расчета чистой текущей стоимости необходимо просуммировать полученные значения дисконтированного чистого потока денежных средств. Добавим в расчетную таблицу дополнительную строку с названием </w:t>
      </w:r>
      <w:r w:rsidRPr="00A41E8E">
        <w:rPr>
          <w:i/>
          <w:sz w:val="28"/>
        </w:rPr>
        <w:t xml:space="preserve">«То же, нарастающим итогом»  </w:t>
      </w:r>
      <w:r w:rsidRPr="00A41E8E">
        <w:rPr>
          <w:sz w:val="28"/>
        </w:rPr>
        <w:t>и проведем суммирование:</w:t>
      </w:r>
    </w:p>
    <w:p w:rsidR="00A8055D" w:rsidRPr="00200639" w:rsidRDefault="00A8055D" w:rsidP="00A8055D"/>
    <w:p w:rsidR="00A8055D" w:rsidRPr="00200639" w:rsidRDefault="00A8055D" w:rsidP="00A8055D">
      <w:pPr>
        <w:rPr>
          <w:lang w:val="en-US"/>
        </w:rPr>
      </w:pPr>
      <w:r w:rsidRPr="00200639">
        <w:object w:dxaOrig="8744" w:dyaOrig="3661">
          <v:shape id="_x0000_i1033" type="#_x0000_t75" style="width:437pt;height:183.2pt" o:ole="" o:bordertopcolor="this" o:borderleftcolor="this" o:borderbottomcolor="this" o:borderrightcolor="this">
            <v:imagedata r:id="rId23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PBrush" ShapeID="_x0000_i1033" DrawAspect="Content" ObjectID="_1552462174" r:id="rId24"/>
        </w:object>
      </w:r>
    </w:p>
    <w:p w:rsidR="00A8055D" w:rsidRDefault="00A8055D" w:rsidP="00A8055D">
      <w:pPr>
        <w:rPr>
          <w:bCs/>
        </w:rPr>
      </w:pPr>
    </w:p>
    <w:p w:rsidR="00A8055D" w:rsidRPr="00A41E8E" w:rsidRDefault="00A8055D" w:rsidP="00A8055D">
      <w:pPr>
        <w:jc w:val="both"/>
        <w:rPr>
          <w:bCs/>
          <w:sz w:val="28"/>
        </w:rPr>
      </w:pPr>
      <w:r w:rsidRPr="00A41E8E">
        <w:rPr>
          <w:bCs/>
          <w:sz w:val="28"/>
        </w:rPr>
        <w:t xml:space="preserve">Для расчета </w:t>
      </w:r>
      <w:r w:rsidRPr="00A41E8E">
        <w:rPr>
          <w:bCs/>
          <w:sz w:val="28"/>
          <w:lang w:val="en-US"/>
        </w:rPr>
        <w:t>NPV</w:t>
      </w:r>
      <w:r w:rsidRPr="00A41E8E">
        <w:rPr>
          <w:bCs/>
          <w:sz w:val="28"/>
        </w:rPr>
        <w:t xml:space="preserve"> из полученной суммы необходимо вычесть сумму первоначальных инвестиций. Заполнив соответствующие строки таблицы, в ячейке Е15 получим значение </w:t>
      </w:r>
      <w:r w:rsidRPr="00A41E8E">
        <w:rPr>
          <w:bCs/>
          <w:sz w:val="28"/>
          <w:lang w:val="en-US"/>
        </w:rPr>
        <w:t>NPV</w:t>
      </w:r>
      <w:r w:rsidRPr="00A41E8E">
        <w:rPr>
          <w:bCs/>
          <w:sz w:val="28"/>
        </w:rPr>
        <w:t>.</w:t>
      </w:r>
    </w:p>
    <w:p w:rsidR="00A8055D" w:rsidRPr="00200639" w:rsidRDefault="00A8055D" w:rsidP="00A8055D">
      <w:r w:rsidRPr="00200639">
        <w:object w:dxaOrig="9014" w:dyaOrig="3045">
          <v:shape id="_x0000_i1034" type="#_x0000_t75" style="width:450.55pt;height:152.55pt" o:ole="" o:bordertopcolor="this" o:borderleftcolor="this" o:borderbottomcolor="this" o:borderrightcolor="this">
            <v:imagedata r:id="rId25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PBrush" ShapeID="_x0000_i1034" DrawAspect="Content" ObjectID="_1552462175" r:id="rId26"/>
        </w:object>
      </w:r>
    </w:p>
    <w:p w:rsidR="00A8055D" w:rsidRPr="00510C8D" w:rsidRDefault="00A8055D" w:rsidP="00A8055D">
      <w:pPr>
        <w:spacing w:before="120"/>
        <w:rPr>
          <w:b/>
          <w:sz w:val="28"/>
        </w:rPr>
      </w:pPr>
    </w:p>
    <w:p w:rsidR="00A8055D" w:rsidRPr="00B30331" w:rsidRDefault="00A8055D" w:rsidP="00A8055D">
      <w:pPr>
        <w:jc w:val="both"/>
        <w:rPr>
          <w:sz w:val="28"/>
          <w:szCs w:val="28"/>
        </w:rPr>
      </w:pPr>
    </w:p>
    <w:p w:rsidR="00A8055D" w:rsidRDefault="00A8055D" w:rsidP="00A8055D">
      <w:pPr>
        <w:rPr>
          <w:sz w:val="28"/>
          <w:szCs w:val="28"/>
        </w:rPr>
      </w:pPr>
    </w:p>
    <w:p w:rsidR="00A8055D" w:rsidRPr="00A8055D" w:rsidRDefault="00A8055D" w:rsidP="00A8055D">
      <w:pPr>
        <w:pStyle w:val="3"/>
        <w:keepLines w:val="0"/>
        <w:spacing w:before="240" w:after="60"/>
        <w:ind w:left="1800"/>
        <w:rPr>
          <w:i/>
          <w:color w:val="auto"/>
          <w:sz w:val="28"/>
        </w:rPr>
      </w:pPr>
      <w:bookmarkStart w:id="1" w:name="_Toc301823120"/>
      <w:r w:rsidRPr="00A8055D">
        <w:rPr>
          <w:color w:val="auto"/>
          <w:sz w:val="28"/>
        </w:rPr>
        <w:t>Индекс доходности (PI)</w:t>
      </w:r>
      <w:bookmarkEnd w:id="1"/>
    </w:p>
    <w:p w:rsidR="00A8055D" w:rsidRPr="00197DA0" w:rsidRDefault="00A8055D" w:rsidP="00A8055D">
      <w:pPr>
        <w:spacing w:before="120"/>
        <w:ind w:firstLine="567"/>
        <w:jc w:val="both"/>
        <w:rPr>
          <w:sz w:val="28"/>
          <w:lang w:val="en-US"/>
        </w:rPr>
      </w:pPr>
    </w:p>
    <w:p w:rsidR="00A8055D" w:rsidRPr="00A41E8E" w:rsidRDefault="00A8055D" w:rsidP="00A8055D">
      <w:pPr>
        <w:spacing w:before="120"/>
        <w:ind w:firstLine="567"/>
        <w:jc w:val="both"/>
        <w:rPr>
          <w:sz w:val="28"/>
        </w:rPr>
      </w:pPr>
      <w:r w:rsidRPr="00A8055D">
        <w:rPr>
          <w:sz w:val="28"/>
        </w:rPr>
        <w:t>Индекс доходности (</w:t>
      </w:r>
      <w:r w:rsidRPr="00A8055D">
        <w:rPr>
          <w:sz w:val="28"/>
          <w:lang w:val="en-US"/>
        </w:rPr>
        <w:t>PI</w:t>
      </w:r>
      <w:r w:rsidRPr="00A8055D">
        <w:rPr>
          <w:sz w:val="28"/>
        </w:rPr>
        <w:t xml:space="preserve"> - </w:t>
      </w:r>
      <w:r w:rsidRPr="00A8055D">
        <w:rPr>
          <w:sz w:val="28"/>
          <w:lang w:val="en-US"/>
        </w:rPr>
        <w:t>Profitability</w:t>
      </w:r>
      <w:r w:rsidRPr="00A8055D">
        <w:rPr>
          <w:sz w:val="28"/>
        </w:rPr>
        <w:t xml:space="preserve"> </w:t>
      </w:r>
      <w:r w:rsidRPr="00A8055D">
        <w:rPr>
          <w:sz w:val="28"/>
          <w:lang w:val="en-US"/>
        </w:rPr>
        <w:t>Index</w:t>
      </w:r>
      <w:r w:rsidRPr="00A8055D">
        <w:rPr>
          <w:sz w:val="28"/>
        </w:rPr>
        <w:t>)</w:t>
      </w:r>
      <w:r w:rsidRPr="00A41E8E">
        <w:rPr>
          <w:b/>
          <w:sz w:val="28"/>
        </w:rPr>
        <w:t xml:space="preserve"> </w:t>
      </w:r>
      <w:r w:rsidRPr="00A41E8E">
        <w:rPr>
          <w:sz w:val="28"/>
        </w:rPr>
        <w:t>определяется как отношение дисконтированных денежных потоков поступлений и выплат, производимых в процессе реализации проекта за весь инвестиционный период:</w:t>
      </w:r>
    </w:p>
    <w:p w:rsidR="00A8055D" w:rsidRPr="00A41E8E" w:rsidRDefault="00A8055D" w:rsidP="00A8055D">
      <w:pPr>
        <w:spacing w:before="120"/>
        <w:ind w:firstLine="567"/>
        <w:jc w:val="center"/>
        <w:rPr>
          <w:sz w:val="28"/>
          <w:szCs w:val="28"/>
        </w:rPr>
      </w:pPr>
      <w:r w:rsidRPr="00A41E8E">
        <w:rPr>
          <w:position w:val="-40"/>
          <w:sz w:val="28"/>
          <w:szCs w:val="28"/>
        </w:rPr>
        <w:object w:dxaOrig="3519" w:dyaOrig="859">
          <v:shape id="_x0000_i1037" type="#_x0000_t75" style="width:176.8pt;height:42.75pt" o:ole="">
            <v:imagedata r:id="rId27" o:title=""/>
          </v:shape>
          <o:OLEObject Type="Embed" ProgID="Equation.3" ShapeID="_x0000_i1037" DrawAspect="Content" ObjectID="_1552462176" r:id="rId28"/>
        </w:object>
      </w:r>
      <w:r w:rsidRPr="00A41E8E">
        <w:rPr>
          <w:sz w:val="28"/>
          <w:szCs w:val="28"/>
        </w:rPr>
        <w:t>,</w:t>
      </w:r>
      <w:r w:rsidR="009C1813">
        <w:rPr>
          <w:sz w:val="28"/>
          <w:szCs w:val="28"/>
        </w:rPr>
        <w:t xml:space="preserve">           (4)</w:t>
      </w:r>
    </w:p>
    <w:p w:rsidR="00A8055D" w:rsidRPr="00A41E8E" w:rsidRDefault="00A8055D" w:rsidP="00A8055D">
      <w:pPr>
        <w:spacing w:before="120"/>
        <w:jc w:val="both"/>
        <w:rPr>
          <w:sz w:val="28"/>
          <w:szCs w:val="28"/>
        </w:rPr>
      </w:pPr>
      <w:r w:rsidRPr="00A41E8E">
        <w:rPr>
          <w:sz w:val="28"/>
          <w:szCs w:val="28"/>
        </w:rPr>
        <w:t>Если инвестиции единовременные, то формула имеет вид:</w:t>
      </w:r>
    </w:p>
    <w:p w:rsidR="00A8055D" w:rsidRPr="00A41E8E" w:rsidRDefault="00A8055D" w:rsidP="00A8055D">
      <w:pPr>
        <w:spacing w:before="120"/>
        <w:jc w:val="center"/>
        <w:rPr>
          <w:sz w:val="28"/>
          <w:szCs w:val="28"/>
        </w:rPr>
      </w:pPr>
      <w:r w:rsidRPr="00A41E8E">
        <w:rPr>
          <w:position w:val="-34"/>
          <w:sz w:val="28"/>
          <w:szCs w:val="28"/>
        </w:rPr>
        <w:object w:dxaOrig="1939" w:dyaOrig="1240">
          <v:shape id="_x0000_i1038" type="#_x0000_t75" style="width:96.25pt;height:62pt" o:ole="">
            <v:imagedata r:id="rId29" o:title=""/>
          </v:shape>
          <o:OLEObject Type="Embed" ProgID="Equation.3" ShapeID="_x0000_i1038" DrawAspect="Content" ObjectID="_1552462177" r:id="rId30"/>
        </w:object>
      </w:r>
      <w:r w:rsidRPr="00A41E8E">
        <w:rPr>
          <w:sz w:val="28"/>
          <w:szCs w:val="28"/>
        </w:rPr>
        <w:t>.</w:t>
      </w:r>
      <w:r w:rsidR="009C1813">
        <w:rPr>
          <w:sz w:val="28"/>
          <w:szCs w:val="28"/>
        </w:rPr>
        <w:t xml:space="preserve">                       (5)</w:t>
      </w:r>
    </w:p>
    <w:p w:rsidR="00A8055D" w:rsidRDefault="00A8055D" w:rsidP="00A8055D">
      <w:pPr>
        <w:pStyle w:val="1"/>
        <w:jc w:val="both"/>
        <w:rPr>
          <w:sz w:val="28"/>
          <w:szCs w:val="28"/>
        </w:rPr>
      </w:pPr>
      <w:r w:rsidRPr="00A41E8E">
        <w:rPr>
          <w:sz w:val="28"/>
          <w:szCs w:val="28"/>
        </w:rPr>
        <w:t xml:space="preserve">Если </w:t>
      </w:r>
      <w:r w:rsidRPr="00A41E8E">
        <w:rPr>
          <w:sz w:val="28"/>
          <w:szCs w:val="28"/>
          <w:lang w:val="en-US"/>
        </w:rPr>
        <w:t>PI</w:t>
      </w:r>
      <w:r w:rsidRPr="00A41E8E">
        <w:rPr>
          <w:sz w:val="28"/>
          <w:szCs w:val="28"/>
        </w:rPr>
        <w:t xml:space="preserve"> &gt;1, проект считается экономически эффекти</w:t>
      </w:r>
      <w:r w:rsidRPr="00A41E8E">
        <w:rPr>
          <w:sz w:val="28"/>
          <w:szCs w:val="28"/>
        </w:rPr>
        <w:softHyphen/>
        <w:t xml:space="preserve">вным и может быть рекомендован к реализации, если </w:t>
      </w:r>
      <w:r w:rsidRPr="00A41E8E">
        <w:rPr>
          <w:sz w:val="28"/>
          <w:szCs w:val="28"/>
          <w:lang w:val="en-US"/>
        </w:rPr>
        <w:t>PI</w:t>
      </w:r>
      <w:r w:rsidRPr="00A41E8E">
        <w:rPr>
          <w:sz w:val="28"/>
          <w:szCs w:val="28"/>
        </w:rPr>
        <w:t xml:space="preserve"> &lt;1, то проект отклоняется. В отличие от </w:t>
      </w:r>
      <w:r w:rsidRPr="00A41E8E">
        <w:rPr>
          <w:sz w:val="28"/>
          <w:szCs w:val="28"/>
          <w:lang w:val="en-US"/>
        </w:rPr>
        <w:t>NPV</w:t>
      </w:r>
      <w:r w:rsidRPr="00A41E8E">
        <w:rPr>
          <w:sz w:val="28"/>
          <w:szCs w:val="28"/>
        </w:rPr>
        <w:t xml:space="preserve">, индекс доходности – это относительный показатель, чем  выше отдача каждого рубля, вложенного в проект, тем больше значение этого показателя. При равных значениях </w:t>
      </w:r>
      <w:r w:rsidRPr="00A41E8E">
        <w:rPr>
          <w:sz w:val="28"/>
          <w:szCs w:val="28"/>
          <w:lang w:val="en-US"/>
        </w:rPr>
        <w:t>NPV</w:t>
      </w:r>
      <w:r w:rsidRPr="00A41E8E">
        <w:rPr>
          <w:sz w:val="28"/>
          <w:szCs w:val="28"/>
        </w:rPr>
        <w:t xml:space="preserve"> индекс доходности дает основание выбрать проект, имеющий наибольшее его значение.</w:t>
      </w:r>
    </w:p>
    <w:p w:rsidR="00A8055D" w:rsidRPr="00A41E8E" w:rsidRDefault="00A8055D" w:rsidP="00A8055D">
      <w:pPr>
        <w:spacing w:before="120"/>
        <w:ind w:firstLine="567"/>
        <w:jc w:val="both"/>
        <w:rPr>
          <w:sz w:val="28"/>
        </w:rPr>
      </w:pPr>
      <w:r w:rsidRPr="00A41E8E">
        <w:rPr>
          <w:sz w:val="28"/>
        </w:rPr>
        <w:t xml:space="preserve">Для расчета индекса доходности </w:t>
      </w:r>
      <w:r w:rsidRPr="00901209">
        <w:rPr>
          <w:sz w:val="28"/>
        </w:rPr>
        <w:t xml:space="preserve">в </w:t>
      </w:r>
      <w:r>
        <w:rPr>
          <w:sz w:val="28"/>
          <w:lang w:val="en-US"/>
        </w:rPr>
        <w:t>MS</w:t>
      </w:r>
      <w:r w:rsidRPr="00901209">
        <w:rPr>
          <w:sz w:val="28"/>
        </w:rPr>
        <w:t xml:space="preserve"> </w:t>
      </w:r>
      <w:r>
        <w:rPr>
          <w:sz w:val="28"/>
          <w:lang w:val="en-US"/>
        </w:rPr>
        <w:t>Excel</w:t>
      </w:r>
      <w:r w:rsidRPr="00901209">
        <w:rPr>
          <w:sz w:val="28"/>
        </w:rPr>
        <w:t xml:space="preserve"> </w:t>
      </w:r>
      <w:r w:rsidRPr="00A41E8E">
        <w:rPr>
          <w:sz w:val="28"/>
        </w:rPr>
        <w:t>в ячейку В15 необходимо ввести знак «=» и указать ссылки на соответствующие ячейки:  =E12 / B5</w:t>
      </w:r>
    </w:p>
    <w:p w:rsidR="00A8055D" w:rsidRPr="00200639" w:rsidRDefault="00A8055D" w:rsidP="00A8055D">
      <w:pPr>
        <w:pStyle w:val="23"/>
        <w:jc w:val="both"/>
        <w:rPr>
          <w:sz w:val="28"/>
          <w:szCs w:val="28"/>
        </w:rPr>
      </w:pPr>
      <w:r w:rsidRPr="00200639">
        <w:rPr>
          <w:sz w:val="28"/>
          <w:szCs w:val="28"/>
        </w:rPr>
        <w:object w:dxaOrig="8821" w:dyaOrig="5191">
          <v:shape id="_x0000_i1039" type="#_x0000_t75" style="width:441.25pt;height:259.5pt" o:ole="" o:bordertopcolor="this" o:borderleftcolor="this" o:borderbottomcolor="this" o:borderrightcolor="this">
            <v:imagedata r:id="rId31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PBrush" ShapeID="_x0000_i1039" DrawAspect="Content" ObjectID="_1552462178" r:id="rId32"/>
        </w:object>
      </w:r>
    </w:p>
    <w:p w:rsidR="00A8055D" w:rsidRPr="00A41E8E" w:rsidRDefault="00A8055D" w:rsidP="00A8055D">
      <w:pPr>
        <w:pStyle w:val="1"/>
        <w:jc w:val="both"/>
        <w:rPr>
          <w:sz w:val="28"/>
          <w:szCs w:val="28"/>
        </w:rPr>
      </w:pPr>
    </w:p>
    <w:p w:rsidR="00A8055D" w:rsidRPr="00A41E8E" w:rsidRDefault="00A8055D" w:rsidP="00A8055D">
      <w:pPr>
        <w:pStyle w:val="1"/>
        <w:jc w:val="both"/>
        <w:rPr>
          <w:sz w:val="28"/>
          <w:szCs w:val="28"/>
        </w:rPr>
      </w:pPr>
    </w:p>
    <w:p w:rsidR="00A8055D" w:rsidRPr="00A8055D" w:rsidRDefault="00A8055D" w:rsidP="00A8055D">
      <w:pPr>
        <w:pStyle w:val="3"/>
        <w:keepLines w:val="0"/>
        <w:spacing w:before="240" w:after="60"/>
        <w:ind w:left="1800"/>
        <w:rPr>
          <w:i/>
          <w:color w:val="auto"/>
          <w:sz w:val="28"/>
        </w:rPr>
      </w:pPr>
      <w:bookmarkStart w:id="2" w:name="_Toc301823121"/>
      <w:r w:rsidRPr="00A8055D">
        <w:rPr>
          <w:color w:val="auto"/>
          <w:sz w:val="28"/>
        </w:rPr>
        <w:lastRenderedPageBreak/>
        <w:t>Внутренняя норма доходности (IRR)</w:t>
      </w:r>
      <w:bookmarkEnd w:id="2"/>
    </w:p>
    <w:p w:rsidR="00A8055D" w:rsidRDefault="00A8055D" w:rsidP="00A8055D">
      <w:pPr>
        <w:ind w:firstLine="567"/>
        <w:jc w:val="both"/>
        <w:rPr>
          <w:b/>
          <w:bCs/>
          <w:iCs/>
          <w:sz w:val="28"/>
          <w:szCs w:val="28"/>
          <w:lang w:val="en-US"/>
        </w:rPr>
      </w:pPr>
    </w:p>
    <w:p w:rsidR="00A8055D" w:rsidRPr="00A41E8E" w:rsidRDefault="00A8055D" w:rsidP="00A8055D">
      <w:pPr>
        <w:ind w:firstLine="567"/>
        <w:jc w:val="both"/>
        <w:rPr>
          <w:sz w:val="28"/>
          <w:szCs w:val="28"/>
        </w:rPr>
      </w:pPr>
      <w:r w:rsidRPr="00F73DE8">
        <w:rPr>
          <w:bCs/>
          <w:iCs/>
          <w:sz w:val="28"/>
          <w:szCs w:val="28"/>
        </w:rPr>
        <w:t>Метод внутренней нормы доходности</w:t>
      </w:r>
      <w:r w:rsidRPr="00F73DE8">
        <w:rPr>
          <w:sz w:val="28"/>
          <w:szCs w:val="28"/>
        </w:rPr>
        <w:t xml:space="preserve"> предполагает определение</w:t>
      </w:r>
      <w:r w:rsidRPr="00A41E8E">
        <w:rPr>
          <w:sz w:val="28"/>
          <w:szCs w:val="28"/>
        </w:rPr>
        <w:t xml:space="preserve"> ставки дисконтирования (</w:t>
      </w:r>
      <w:r w:rsidRPr="00A41E8E">
        <w:rPr>
          <w:sz w:val="28"/>
          <w:szCs w:val="28"/>
          <w:lang w:val="en-US"/>
        </w:rPr>
        <w:t>R</w:t>
      </w:r>
      <w:r w:rsidRPr="00A41E8E">
        <w:rPr>
          <w:sz w:val="28"/>
          <w:szCs w:val="28"/>
        </w:rPr>
        <w:t xml:space="preserve">), при которой величина входного и выходного дисконтированных денежных потоков равны. </w:t>
      </w:r>
    </w:p>
    <w:p w:rsidR="00A8055D" w:rsidRPr="00A41E8E" w:rsidRDefault="00A8055D" w:rsidP="00A8055D">
      <w:pPr>
        <w:ind w:firstLine="567"/>
        <w:jc w:val="both"/>
        <w:rPr>
          <w:sz w:val="28"/>
          <w:szCs w:val="28"/>
        </w:rPr>
      </w:pPr>
      <w:r w:rsidRPr="00A41E8E">
        <w:rPr>
          <w:sz w:val="28"/>
          <w:szCs w:val="28"/>
        </w:rPr>
        <w:t xml:space="preserve">Внутренняя норма доходности обычно обозначается аббревиатурой </w:t>
      </w:r>
      <w:r w:rsidRPr="00A41E8E">
        <w:rPr>
          <w:sz w:val="28"/>
          <w:szCs w:val="28"/>
          <w:lang w:val="en-US"/>
        </w:rPr>
        <w:t>IRR</w:t>
      </w:r>
      <w:r w:rsidRPr="00A41E8E">
        <w:rPr>
          <w:sz w:val="28"/>
          <w:szCs w:val="28"/>
        </w:rPr>
        <w:t xml:space="preserve"> (от англ. </w:t>
      </w:r>
      <w:r w:rsidRPr="00A41E8E">
        <w:rPr>
          <w:sz w:val="28"/>
          <w:szCs w:val="28"/>
          <w:lang w:val="en-US"/>
        </w:rPr>
        <w:t>Internal</w:t>
      </w:r>
      <w:r w:rsidRPr="00A41E8E">
        <w:rPr>
          <w:sz w:val="28"/>
          <w:szCs w:val="28"/>
        </w:rPr>
        <w:t xml:space="preserve"> </w:t>
      </w:r>
      <w:r w:rsidRPr="00A41E8E">
        <w:rPr>
          <w:sz w:val="28"/>
          <w:szCs w:val="28"/>
          <w:lang w:val="en-US"/>
        </w:rPr>
        <w:t>Rate</w:t>
      </w:r>
      <w:r w:rsidRPr="00A41E8E">
        <w:rPr>
          <w:sz w:val="28"/>
          <w:szCs w:val="28"/>
        </w:rPr>
        <w:t xml:space="preserve"> </w:t>
      </w:r>
      <w:r w:rsidRPr="00A41E8E">
        <w:rPr>
          <w:sz w:val="28"/>
          <w:szCs w:val="28"/>
          <w:lang w:val="en-US"/>
        </w:rPr>
        <w:t>of</w:t>
      </w:r>
      <w:r w:rsidRPr="00A41E8E">
        <w:rPr>
          <w:sz w:val="28"/>
          <w:szCs w:val="28"/>
        </w:rPr>
        <w:t xml:space="preserve"> </w:t>
      </w:r>
      <w:r w:rsidRPr="00A41E8E">
        <w:rPr>
          <w:sz w:val="28"/>
          <w:szCs w:val="28"/>
          <w:lang w:val="en-US"/>
        </w:rPr>
        <w:t>Return</w:t>
      </w:r>
      <w:r w:rsidRPr="00A41E8E">
        <w:rPr>
          <w:sz w:val="28"/>
          <w:szCs w:val="28"/>
        </w:rPr>
        <w:t>) и определяется из следующего выражения:</w:t>
      </w:r>
    </w:p>
    <w:p w:rsidR="00A8055D" w:rsidRPr="009C1813" w:rsidRDefault="00A8055D" w:rsidP="00A8055D">
      <w:pPr>
        <w:spacing w:line="360" w:lineRule="auto"/>
        <w:jc w:val="center"/>
        <w:rPr>
          <w:sz w:val="28"/>
          <w:szCs w:val="28"/>
        </w:rPr>
      </w:pPr>
      <w:r w:rsidRPr="00A41E8E">
        <w:rPr>
          <w:i/>
          <w:position w:val="-42"/>
          <w:sz w:val="28"/>
          <w:szCs w:val="28"/>
        </w:rPr>
        <w:object w:dxaOrig="4599" w:dyaOrig="980">
          <v:shape id="_x0000_i1040" type="#_x0000_t75" style="width:230.95pt;height:48.5pt" o:ole="">
            <v:imagedata r:id="rId33" o:title=""/>
          </v:shape>
          <o:OLEObject Type="Embed" ProgID="Equation.3" ShapeID="_x0000_i1040" DrawAspect="Content" ObjectID="_1552462179" r:id="rId34"/>
        </w:object>
      </w:r>
      <w:r w:rsidR="009C1813">
        <w:rPr>
          <w:i/>
          <w:position w:val="-42"/>
          <w:sz w:val="28"/>
          <w:szCs w:val="28"/>
        </w:rPr>
        <w:t xml:space="preserve">         </w:t>
      </w:r>
      <w:r w:rsidR="009C1813" w:rsidRPr="009C1813">
        <w:rPr>
          <w:position w:val="-42"/>
          <w:sz w:val="28"/>
          <w:szCs w:val="28"/>
        </w:rPr>
        <w:t>(6)</w:t>
      </w:r>
    </w:p>
    <w:p w:rsidR="00A8055D" w:rsidRPr="00A41E8E" w:rsidRDefault="00A8055D" w:rsidP="00A8055D">
      <w:pPr>
        <w:ind w:firstLine="567"/>
        <w:jc w:val="both"/>
        <w:rPr>
          <w:sz w:val="28"/>
          <w:szCs w:val="28"/>
        </w:rPr>
      </w:pPr>
      <w:r w:rsidRPr="00A41E8E">
        <w:rPr>
          <w:sz w:val="28"/>
          <w:szCs w:val="28"/>
        </w:rPr>
        <w:t xml:space="preserve">Для расчета </w:t>
      </w:r>
      <w:r w:rsidRPr="00A41E8E">
        <w:rPr>
          <w:sz w:val="28"/>
          <w:szCs w:val="28"/>
          <w:lang w:val="en-US"/>
        </w:rPr>
        <w:t>IRR</w:t>
      </w:r>
      <w:r w:rsidRPr="00A41E8E">
        <w:rPr>
          <w:sz w:val="28"/>
          <w:szCs w:val="28"/>
        </w:rPr>
        <w:t xml:space="preserve"> используется </w:t>
      </w:r>
      <w:r w:rsidRPr="00A8055D">
        <w:rPr>
          <w:bCs/>
          <w:sz w:val="28"/>
          <w:szCs w:val="28"/>
        </w:rPr>
        <w:t>метод линейной интерполяции</w:t>
      </w:r>
      <w:r w:rsidRPr="00A8055D">
        <w:rPr>
          <w:sz w:val="28"/>
          <w:szCs w:val="28"/>
        </w:rPr>
        <w:t>,</w:t>
      </w:r>
      <w:r w:rsidRPr="00A41E8E">
        <w:rPr>
          <w:sz w:val="28"/>
          <w:szCs w:val="28"/>
        </w:rPr>
        <w:t xml:space="preserve"> базирующийся на теореме </w:t>
      </w:r>
      <w:proofErr w:type="spellStart"/>
      <w:r w:rsidRPr="00A41E8E">
        <w:rPr>
          <w:sz w:val="28"/>
          <w:szCs w:val="28"/>
        </w:rPr>
        <w:t>Больцано-Коши</w:t>
      </w:r>
      <w:proofErr w:type="spellEnd"/>
      <w:r w:rsidRPr="00A41E8E">
        <w:rPr>
          <w:sz w:val="28"/>
          <w:szCs w:val="28"/>
        </w:rPr>
        <w:t xml:space="preserve">. </w:t>
      </w:r>
    </w:p>
    <w:p w:rsidR="00A8055D" w:rsidRPr="00A41E8E" w:rsidRDefault="00A8055D" w:rsidP="00A8055D">
      <w:pPr>
        <w:ind w:firstLine="567"/>
        <w:jc w:val="both"/>
        <w:rPr>
          <w:sz w:val="28"/>
          <w:szCs w:val="28"/>
        </w:rPr>
      </w:pPr>
      <w:r w:rsidRPr="00A41E8E">
        <w:rPr>
          <w:sz w:val="28"/>
          <w:szCs w:val="28"/>
        </w:rPr>
        <w:t xml:space="preserve">Если непрерывная функция </w:t>
      </w:r>
      <w:r w:rsidRPr="00A41E8E">
        <w:rPr>
          <w:sz w:val="28"/>
          <w:szCs w:val="28"/>
          <w:lang w:val="en-US"/>
        </w:rPr>
        <w:t>NPV</w:t>
      </w:r>
      <w:r w:rsidRPr="00A41E8E">
        <w:rPr>
          <w:sz w:val="28"/>
          <w:szCs w:val="28"/>
        </w:rPr>
        <w:t>(</w:t>
      </w:r>
      <w:r w:rsidRPr="00A41E8E">
        <w:rPr>
          <w:sz w:val="28"/>
          <w:szCs w:val="28"/>
          <w:lang w:val="en-US"/>
        </w:rPr>
        <w:t>R</w:t>
      </w:r>
      <w:r w:rsidRPr="00A41E8E">
        <w:rPr>
          <w:sz w:val="28"/>
          <w:szCs w:val="28"/>
        </w:rPr>
        <w:t>) на промежутке [</w:t>
      </w:r>
      <w:r w:rsidRPr="00A41E8E">
        <w:rPr>
          <w:sz w:val="28"/>
          <w:szCs w:val="28"/>
          <w:lang w:val="en-US"/>
        </w:rPr>
        <w:t>R</w:t>
      </w:r>
      <w:r w:rsidRPr="00A41E8E">
        <w:rPr>
          <w:sz w:val="28"/>
          <w:szCs w:val="28"/>
          <w:vertAlign w:val="subscript"/>
        </w:rPr>
        <w:t>1</w:t>
      </w:r>
      <w:r w:rsidRPr="00A41E8E">
        <w:rPr>
          <w:sz w:val="28"/>
          <w:szCs w:val="28"/>
        </w:rPr>
        <w:t>;</w:t>
      </w:r>
      <w:r w:rsidRPr="00A41E8E">
        <w:rPr>
          <w:sz w:val="28"/>
          <w:szCs w:val="28"/>
          <w:lang w:val="en-US"/>
        </w:rPr>
        <w:t>R</w:t>
      </w:r>
      <w:r w:rsidRPr="00A41E8E">
        <w:rPr>
          <w:sz w:val="28"/>
          <w:szCs w:val="28"/>
          <w:vertAlign w:val="subscript"/>
        </w:rPr>
        <w:t>2</w:t>
      </w:r>
      <w:r w:rsidRPr="00A41E8E">
        <w:rPr>
          <w:sz w:val="28"/>
          <w:szCs w:val="28"/>
        </w:rPr>
        <w:t xml:space="preserve">] является </w:t>
      </w:r>
      <w:r w:rsidRPr="00F73DE8">
        <w:rPr>
          <w:bCs/>
          <w:sz w:val="28"/>
          <w:szCs w:val="28"/>
        </w:rPr>
        <w:t>монотонной</w:t>
      </w:r>
      <w:r w:rsidRPr="00F73DE8">
        <w:rPr>
          <w:sz w:val="28"/>
          <w:szCs w:val="28"/>
        </w:rPr>
        <w:t xml:space="preserve"> и принимает на концах этого промежутка </w:t>
      </w:r>
      <w:r w:rsidRPr="00F73DE8">
        <w:rPr>
          <w:bCs/>
          <w:sz w:val="28"/>
          <w:szCs w:val="28"/>
        </w:rPr>
        <w:t>разные знаки</w:t>
      </w:r>
      <w:r w:rsidRPr="00F73DE8">
        <w:rPr>
          <w:sz w:val="28"/>
          <w:szCs w:val="28"/>
        </w:rPr>
        <w:t>, то в некоторой внутренней точке этого</w:t>
      </w:r>
      <w:r w:rsidRPr="00A41E8E">
        <w:rPr>
          <w:sz w:val="28"/>
          <w:szCs w:val="28"/>
        </w:rPr>
        <w:t xml:space="preserve"> промежутка функция </w:t>
      </w:r>
      <w:r w:rsidRPr="00A41E8E">
        <w:rPr>
          <w:sz w:val="28"/>
          <w:szCs w:val="28"/>
          <w:lang w:val="en-US"/>
        </w:rPr>
        <w:t>NPV</w:t>
      </w:r>
      <w:r w:rsidRPr="00A41E8E">
        <w:rPr>
          <w:sz w:val="28"/>
          <w:szCs w:val="28"/>
        </w:rPr>
        <w:t>(</w:t>
      </w:r>
      <w:r w:rsidRPr="00A41E8E">
        <w:rPr>
          <w:sz w:val="28"/>
          <w:szCs w:val="28"/>
          <w:lang w:val="en-US"/>
        </w:rPr>
        <w:t>R</w:t>
      </w:r>
      <w:r w:rsidRPr="00A41E8E">
        <w:rPr>
          <w:sz w:val="28"/>
          <w:szCs w:val="28"/>
        </w:rPr>
        <w:t>)</w:t>
      </w:r>
      <w:r w:rsidRPr="00A41E8E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примет значение равное</w:t>
      </w:r>
      <w:r w:rsidRPr="00A41E8E">
        <w:rPr>
          <w:sz w:val="28"/>
          <w:szCs w:val="28"/>
        </w:rPr>
        <w:t xml:space="preserve"> нулю, и эта точка (корень функции) единственная на этом промежутке (</w:t>
      </w:r>
      <w:proofErr w:type="gramStart"/>
      <w:r w:rsidRPr="00A41E8E">
        <w:rPr>
          <w:sz w:val="28"/>
          <w:szCs w:val="28"/>
        </w:rPr>
        <w:t>см</w:t>
      </w:r>
      <w:proofErr w:type="gramEnd"/>
      <w:r w:rsidRPr="00A41E8E">
        <w:rPr>
          <w:sz w:val="28"/>
          <w:szCs w:val="28"/>
        </w:rPr>
        <w:t>. рис.</w:t>
      </w:r>
      <w:r>
        <w:rPr>
          <w:sz w:val="28"/>
          <w:szCs w:val="28"/>
        </w:rPr>
        <w:t>1</w:t>
      </w:r>
      <w:r w:rsidRPr="00A41E8E">
        <w:rPr>
          <w:sz w:val="28"/>
          <w:szCs w:val="28"/>
        </w:rPr>
        <w:t>).</w:t>
      </w:r>
    </w:p>
    <w:p w:rsidR="00A8055D" w:rsidRDefault="00A8055D" w:rsidP="00A8055D">
      <w:pPr>
        <w:spacing w:line="360" w:lineRule="auto"/>
        <w:jc w:val="center"/>
      </w:pPr>
      <w:r w:rsidRPr="001771EA">
        <w:rPr>
          <w:rFonts w:ascii="Arial" w:hAnsi="Arial" w:cs="Arial"/>
        </w:rPr>
      </w:r>
      <w:r w:rsidRPr="001771EA">
        <w:rPr>
          <w:rFonts w:ascii="Arial" w:hAnsi="Arial" w:cs="Arial"/>
        </w:rPr>
        <w:pict>
          <v:group id="_x0000_s1026" editas="canvas" style="width:384pt;height:126pt;mso-position-horizontal-relative:char;mso-position-vertical-relative:line" coordorigin="1821,1281" coordsize="7680,2520">
            <o:lock v:ext="edit" aspectratio="t"/>
            <v:shape id="_x0000_s1027" type="#_x0000_t75" style="position:absolute;left:1821;top:1281;width:7680;height:2520" o:preferrelative="f">
              <v:fill o:detectmouseclick="t"/>
              <v:path o:extrusionok="t" o:connecttype="none"/>
              <o:lock v:ext="edit" text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2691;top:1281;width:840;height:373" stroked="f">
              <v:textbox style="mso-next-textbox:#_x0000_s1028">
                <w:txbxContent>
                  <w:p w:rsidR="00A8055D" w:rsidRDefault="00A8055D" w:rsidP="00A8055D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NPV</w:t>
                    </w:r>
                  </w:p>
                </w:txbxContent>
              </v:textbox>
            </v:shape>
            <v:group id="_x0000_s1029" style="position:absolute;left:2256;top:1660;width:6765;height:2017" coordorigin="2256,1660" coordsize="6765,2017">
              <v:shape id="_x0000_s1030" type="#_x0000_t202" style="position:absolute;left:2316;top:3188;width:1320;height:489" stroked="f">
                <v:textbox style="mso-next-textbox:#_x0000_s1030">
                  <w:txbxContent>
                    <w:p w:rsidR="00A8055D" w:rsidRDefault="00A8055D" w:rsidP="00A8055D">
                      <w:proofErr w:type="gramStart"/>
                      <w:r w:rsidRPr="00375828">
                        <w:rPr>
                          <w:lang w:val="en-US"/>
                        </w:rPr>
                        <w:t>NPV(</w:t>
                      </w:r>
                      <w:proofErr w:type="gramEnd"/>
                      <w:r w:rsidRPr="00375828">
                        <w:rPr>
                          <w:lang w:val="en-US"/>
                        </w:rPr>
                        <w:t>R</w:t>
                      </w:r>
                      <w:r w:rsidRPr="00375828">
                        <w:rPr>
                          <w:vertAlign w:val="subscript"/>
                          <w:lang w:val="en-US"/>
                        </w:rPr>
                        <w:t>2</w:t>
                      </w:r>
                      <w:r>
                        <w:rPr>
                          <w:lang w:val="en-US"/>
                        </w:rPr>
                        <w:t>)</w:t>
                      </w:r>
                    </w:p>
                  </w:txbxContent>
                </v:textbox>
              </v:shape>
              <v:shape id="_x0000_s1031" type="#_x0000_t202" style="position:absolute;left:2256;top:1660;width:1408;height:489" stroked="f">
                <v:textbox style="mso-next-textbox:#_x0000_s1031">
                  <w:txbxContent>
                    <w:p w:rsidR="00A8055D" w:rsidRPr="00375828" w:rsidRDefault="00A8055D" w:rsidP="00A8055D">
                      <w:proofErr w:type="gramStart"/>
                      <w:r w:rsidRPr="00375828">
                        <w:rPr>
                          <w:lang w:val="en-US"/>
                        </w:rPr>
                        <w:t>NPV(</w:t>
                      </w:r>
                      <w:proofErr w:type="gramEnd"/>
                      <w:r w:rsidRPr="00375828">
                        <w:rPr>
                          <w:lang w:val="en-US"/>
                        </w:rPr>
                        <w:t>R</w:t>
                      </w:r>
                      <w:r w:rsidRPr="00375828">
                        <w:rPr>
                          <w:vertAlign w:val="subscript"/>
                          <w:lang w:val="en-US"/>
                        </w:rPr>
                        <w:t>1</w:t>
                      </w:r>
                      <w:r w:rsidRPr="00375828">
                        <w:rPr>
                          <w:lang w:val="en-US"/>
                        </w:rPr>
                        <w:t>)</w:t>
                      </w:r>
                    </w:p>
                  </w:txbxContent>
                </v:textbox>
              </v:shape>
              <v:shape id="_x0000_s1032" type="#_x0000_t202" style="position:absolute;left:3051;top:2480;width:360;height:489" stroked="f">
                <v:textbox style="mso-next-textbox:#_x0000_s1032">
                  <w:txbxContent>
                    <w:p w:rsidR="00A8055D" w:rsidRDefault="00A8055D" w:rsidP="00A8055D">
                      <w:r>
                        <w:t>0</w:t>
                      </w:r>
                    </w:p>
                  </w:txbxContent>
                </v:textbox>
              </v:shape>
              <v:shape id="_x0000_s1033" type="#_x0000_t202" style="position:absolute;left:6411;top:2200;width:720;height:489" stroked="f">
                <v:textbox style="mso-next-textbox:#_x0000_s1033">
                  <w:txbxContent>
                    <w:p w:rsidR="00A8055D" w:rsidRDefault="00A8055D" w:rsidP="00A8055D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R</w:t>
                      </w:r>
                      <w:r>
                        <w:rPr>
                          <w:vertAlign w:val="subscript"/>
                          <w:lang w:val="en-US"/>
                        </w:rPr>
                        <w:t>2</w:t>
                      </w:r>
                    </w:p>
                  </w:txbxContent>
                </v:textbox>
              </v:shape>
              <v:shape id="_x0000_s1034" type="#_x0000_t202" style="position:absolute;left:5406;top:1934;width:915;height:489" stroked="f">
                <v:textbox style="mso-next-textbox:#_x0000_s1034">
                  <w:txbxContent>
                    <w:p w:rsidR="00A8055D" w:rsidRPr="00375828" w:rsidRDefault="00A8055D" w:rsidP="00A8055D">
                      <w:pPr>
                        <w:rPr>
                          <w:lang w:val="en-US"/>
                        </w:rPr>
                      </w:pPr>
                      <w:r w:rsidRPr="00375828">
                        <w:rPr>
                          <w:lang w:val="en-US"/>
                        </w:rPr>
                        <w:t>IRR</w:t>
                      </w:r>
                    </w:p>
                  </w:txbxContent>
                </v:textbox>
              </v:shape>
              <v:line id="_x0000_s1035" style="position:absolute" from="3532,2659" to="8091,2660">
                <v:stroke endarrow="block"/>
              </v:line>
              <v:line id="_x0000_s1036" style="position:absolute" from="4011,1844" to="6651,3474">
                <v:stroke startarrow="diamond" endarrow="diamond"/>
              </v:line>
              <v:line id="_x0000_s1037" style="position:absolute" from="4011,1844" to="4012,2659">
                <v:stroke dashstyle="dash"/>
              </v:line>
              <v:line id="_x0000_s1038" style="position:absolute" from="6650,2665" to="6651,3480">
                <v:stroke dashstyle="dash"/>
              </v:line>
              <v:line id="_x0000_s1039" style="position:absolute" from="3576,2659" to="5376,2660">
                <v:stroke endarrow="diamond"/>
              </v:line>
              <v:line id="_x0000_s1040" style="position:absolute" from="5526,2318" to="6014,2319"/>
              <v:line id="_x0000_s1041" style="position:absolute;flip:x" from="5391,2318" to="5511,2644">
                <v:stroke endarrow="block"/>
              </v:line>
              <v:shape id="_x0000_s1042" type="#_x0000_t202" style="position:absolute;left:6846;top:2732;width:2175;height:831" stroked="f">
                <v:textbox style="mso-next-textbox:#_x0000_s1042">
                  <w:txbxContent>
                    <w:p w:rsidR="00A8055D" w:rsidRPr="00375828" w:rsidRDefault="00A8055D" w:rsidP="00A8055D">
                      <w:pPr>
                        <w:rPr>
                          <w:sz w:val="26"/>
                          <w:szCs w:val="26"/>
                        </w:rPr>
                      </w:pPr>
                      <w:r w:rsidRPr="00375828">
                        <w:rPr>
                          <w:sz w:val="26"/>
                          <w:szCs w:val="26"/>
                          <w:lang w:val="en-US"/>
                        </w:rPr>
                        <w:t>R</w:t>
                      </w:r>
                      <w:r w:rsidRPr="00375828">
                        <w:rPr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sz w:val="26"/>
                          <w:szCs w:val="26"/>
                        </w:rPr>
                        <w:t>(</w:t>
                      </w:r>
                      <w:r w:rsidRPr="00375828">
                        <w:rPr>
                          <w:sz w:val="26"/>
                          <w:szCs w:val="26"/>
                        </w:rPr>
                        <w:t>норма</w:t>
                      </w:r>
                    </w:p>
                    <w:p w:rsidR="00A8055D" w:rsidRPr="00375828" w:rsidRDefault="00A8055D" w:rsidP="00A8055D">
                      <w:pPr>
                        <w:rPr>
                          <w:sz w:val="26"/>
                          <w:szCs w:val="26"/>
                        </w:rPr>
                      </w:pPr>
                      <w:r w:rsidRPr="00375828">
                        <w:rPr>
                          <w:sz w:val="26"/>
                          <w:szCs w:val="26"/>
                        </w:rPr>
                        <w:t xml:space="preserve"> дисконта)</w:t>
                      </w:r>
                    </w:p>
                  </w:txbxContent>
                </v:textbox>
              </v:shape>
              <v:shape id="_x0000_s1043" type="#_x0000_t202" style="position:absolute;left:3771;top:2702;width:720;height:489" stroked="f">
                <v:textbox style="mso-next-textbox:#_x0000_s1043">
                  <w:txbxContent>
                    <w:p w:rsidR="00A8055D" w:rsidRDefault="00A8055D" w:rsidP="00A8055D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R</w:t>
                      </w:r>
                      <w:r>
                        <w:rPr>
                          <w:vertAlign w:val="subscript"/>
                          <w:lang w:val="en-US"/>
                        </w:rPr>
                        <w:t>1</w:t>
                      </w:r>
                    </w:p>
                  </w:txbxContent>
                </v:textbox>
              </v:shape>
              <v:line id="_x0000_s1044" style="position:absolute" from="3531,1843" to="4011,1844">
                <v:stroke dashstyle="dash"/>
              </v:line>
              <v:line id="_x0000_s1045" style="position:absolute;flip:x" from="3531,3473" to="6651,3474">
                <v:stroke dashstyle="dash"/>
              </v:line>
            </v:group>
            <v:line id="_x0000_s1046" style="position:absolute;flip:y" from="3545,1339" to="3546,3777">
              <v:stroke endarrow="block"/>
            </v:line>
            <w10:wrap type="none"/>
            <w10:anchorlock/>
          </v:group>
        </w:pict>
      </w:r>
    </w:p>
    <w:p w:rsidR="00A8055D" w:rsidRPr="00A41E8E" w:rsidRDefault="00A8055D" w:rsidP="00A8055D">
      <w:pPr>
        <w:jc w:val="center"/>
        <w:rPr>
          <w:sz w:val="28"/>
        </w:rPr>
      </w:pPr>
      <w:r w:rsidRPr="00A41E8E">
        <w:rPr>
          <w:sz w:val="28"/>
        </w:rPr>
        <w:t xml:space="preserve">Рисунок </w:t>
      </w:r>
      <w:r>
        <w:rPr>
          <w:sz w:val="28"/>
        </w:rPr>
        <w:t>1</w:t>
      </w:r>
      <w:r w:rsidRPr="00A41E8E">
        <w:rPr>
          <w:sz w:val="28"/>
        </w:rPr>
        <w:t xml:space="preserve"> – Графическая иллюстрация расчета внутренней нормы доходности</w:t>
      </w:r>
    </w:p>
    <w:p w:rsidR="00A8055D" w:rsidRPr="00A41E8E" w:rsidRDefault="00A8055D" w:rsidP="00A8055D">
      <w:pPr>
        <w:spacing w:before="120" w:after="120"/>
        <w:jc w:val="both"/>
        <w:rPr>
          <w:sz w:val="28"/>
        </w:rPr>
      </w:pPr>
      <w:r w:rsidRPr="00A41E8E">
        <w:rPr>
          <w:sz w:val="28"/>
        </w:rPr>
        <w:t>Приближенное значение корня функции вычисляется по формуле:</w:t>
      </w:r>
    </w:p>
    <w:p w:rsidR="00A8055D" w:rsidRPr="00A41E8E" w:rsidRDefault="00A8055D" w:rsidP="00A8055D">
      <w:pPr>
        <w:ind w:firstLine="708"/>
        <w:jc w:val="center"/>
        <w:rPr>
          <w:sz w:val="28"/>
        </w:rPr>
      </w:pPr>
      <w:r w:rsidRPr="00A41E8E">
        <w:rPr>
          <w:i/>
          <w:position w:val="-34"/>
          <w:sz w:val="28"/>
        </w:rPr>
        <w:object w:dxaOrig="3920" w:dyaOrig="780">
          <v:shape id="_x0000_i1041" type="#_x0000_t75" style="width:196.05pt;height:39.2pt" o:ole="">
            <v:imagedata r:id="rId35" o:title=""/>
          </v:shape>
          <o:OLEObject Type="Embed" ProgID="Equation.3" ShapeID="_x0000_i1041" DrawAspect="Content" ObjectID="_1552462180" r:id="rId36"/>
        </w:object>
      </w:r>
      <w:r w:rsidRPr="00A41E8E">
        <w:rPr>
          <w:sz w:val="28"/>
        </w:rPr>
        <w:t>.</w:t>
      </w:r>
      <w:r w:rsidR="009C1813">
        <w:rPr>
          <w:sz w:val="28"/>
        </w:rPr>
        <w:t xml:space="preserve">                      (7)</w:t>
      </w:r>
    </w:p>
    <w:p w:rsidR="00A8055D" w:rsidRPr="00A41E8E" w:rsidRDefault="00A8055D" w:rsidP="00A8055D">
      <w:pPr>
        <w:ind w:firstLine="567"/>
        <w:jc w:val="both"/>
        <w:rPr>
          <w:sz w:val="28"/>
        </w:rPr>
      </w:pPr>
      <w:r w:rsidRPr="00A41E8E">
        <w:rPr>
          <w:sz w:val="28"/>
        </w:rPr>
        <w:t xml:space="preserve">Для оценки проекта по критерию </w:t>
      </w:r>
      <w:r w:rsidRPr="00A41E8E">
        <w:rPr>
          <w:sz w:val="28"/>
          <w:lang w:val="en-US"/>
        </w:rPr>
        <w:t>IRR</w:t>
      </w:r>
      <w:r w:rsidRPr="00A41E8E">
        <w:rPr>
          <w:sz w:val="28"/>
        </w:rPr>
        <w:t xml:space="preserve"> сравнивают внутреннюю норму доходности инвестиционного проекта с требуемой инвестором нормой прибыли, которую называют </w:t>
      </w:r>
      <w:r w:rsidRPr="00A41E8E">
        <w:rPr>
          <w:bCs/>
          <w:sz w:val="28"/>
        </w:rPr>
        <w:t>ставкой отсечения</w:t>
      </w:r>
      <w:r w:rsidRPr="00A41E8E">
        <w:rPr>
          <w:sz w:val="28"/>
        </w:rPr>
        <w:t xml:space="preserve"> или </w:t>
      </w:r>
      <w:r w:rsidRPr="00A41E8E">
        <w:rPr>
          <w:bCs/>
          <w:sz w:val="28"/>
        </w:rPr>
        <w:t>пороговой ставкой</w:t>
      </w:r>
      <w:r w:rsidRPr="00A41E8E">
        <w:rPr>
          <w:sz w:val="28"/>
        </w:rPr>
        <w:t xml:space="preserve">. Ставка отсечения устанавливается инвестором исходя из целей, которые он ставит перед собой. Например, в качестве ставки отсечения может быть принята средняя норма прибыли для проектов той же степени риска, что и анализируемый проект или более высокая ставка. </w:t>
      </w:r>
    </w:p>
    <w:p w:rsidR="00A8055D" w:rsidRPr="00A41E8E" w:rsidRDefault="00A8055D" w:rsidP="00A8055D">
      <w:pPr>
        <w:ind w:firstLine="567"/>
        <w:jc w:val="both"/>
        <w:rPr>
          <w:sz w:val="28"/>
        </w:rPr>
      </w:pPr>
      <w:r w:rsidRPr="00A41E8E">
        <w:rPr>
          <w:sz w:val="28"/>
        </w:rPr>
        <w:t xml:space="preserve">Если </w:t>
      </w:r>
      <w:r w:rsidRPr="00A41E8E">
        <w:rPr>
          <w:sz w:val="28"/>
          <w:lang w:val="en-US"/>
        </w:rPr>
        <w:t>IRR</w:t>
      </w:r>
      <w:r w:rsidRPr="00A41E8E">
        <w:rPr>
          <w:sz w:val="28"/>
        </w:rPr>
        <w:t xml:space="preserve"> ниже, чем пороговая ставка, то проект отвергается, в противном случае – принимается. При сравнении нескольких альтернативных проектов лучшим является проект с наибольшим значением </w:t>
      </w:r>
      <w:r w:rsidRPr="00A41E8E">
        <w:rPr>
          <w:sz w:val="28"/>
          <w:lang w:val="en-US"/>
        </w:rPr>
        <w:t>IRR</w:t>
      </w:r>
      <w:r w:rsidRPr="00A41E8E">
        <w:rPr>
          <w:sz w:val="28"/>
        </w:rPr>
        <w:t xml:space="preserve">. </w:t>
      </w:r>
      <w:r w:rsidRPr="00A41E8E">
        <w:rPr>
          <w:bCs/>
          <w:sz w:val="28"/>
        </w:rPr>
        <w:t xml:space="preserve">К недостаткам критерия </w:t>
      </w:r>
      <w:r w:rsidRPr="00A41E8E">
        <w:rPr>
          <w:bCs/>
          <w:sz w:val="28"/>
          <w:lang w:val="en-US"/>
        </w:rPr>
        <w:t>IRR</w:t>
      </w:r>
      <w:r w:rsidRPr="00A41E8E">
        <w:rPr>
          <w:sz w:val="28"/>
        </w:rPr>
        <w:t xml:space="preserve"> следует отнести то, что он применим только к </w:t>
      </w:r>
      <w:r w:rsidRPr="00A41E8E">
        <w:rPr>
          <w:bCs/>
          <w:sz w:val="28"/>
        </w:rPr>
        <w:t>регулярным инвестиционным проектам</w:t>
      </w:r>
      <w:r w:rsidRPr="00A41E8E">
        <w:rPr>
          <w:sz w:val="28"/>
        </w:rPr>
        <w:t xml:space="preserve">. </w:t>
      </w:r>
    </w:p>
    <w:p w:rsidR="00A8055D" w:rsidRDefault="00A8055D" w:rsidP="00A8055D">
      <w:pPr>
        <w:ind w:firstLine="567"/>
        <w:jc w:val="both"/>
        <w:rPr>
          <w:sz w:val="28"/>
        </w:rPr>
      </w:pPr>
      <w:r w:rsidRPr="00A41E8E">
        <w:rPr>
          <w:sz w:val="28"/>
        </w:rPr>
        <w:lastRenderedPageBreak/>
        <w:t xml:space="preserve">Под </w:t>
      </w:r>
      <w:r w:rsidRPr="00A41E8E">
        <w:rPr>
          <w:bCs/>
          <w:sz w:val="28"/>
        </w:rPr>
        <w:t>регулярным инвестиционным проектом</w:t>
      </w:r>
      <w:r w:rsidRPr="00A41E8E">
        <w:rPr>
          <w:sz w:val="28"/>
        </w:rPr>
        <w:t xml:space="preserve"> понимается проект,  последовательность денежных потоков которого характеризуются не более одной сменой знака. Это означает, что знаки денежных потоков образуют последовательность типа</w:t>
      </w:r>
      <w:proofErr w:type="gramStart"/>
      <w:r w:rsidRPr="00A41E8E">
        <w:rPr>
          <w:sz w:val="28"/>
        </w:rPr>
        <w:t xml:space="preserve"> « - - - + + + » </w:t>
      </w:r>
      <w:proofErr w:type="gramEnd"/>
      <w:r w:rsidRPr="00A41E8E">
        <w:rPr>
          <w:sz w:val="28"/>
        </w:rPr>
        <w:t xml:space="preserve">или  « + + + - - - ». Если инвестиционный проект не является регулярным, то применение критерия внутренней нормы доходности затруднено. </w:t>
      </w:r>
    </w:p>
    <w:p w:rsidR="00A8055D" w:rsidRPr="00A41E8E" w:rsidRDefault="00A8055D" w:rsidP="00A8055D">
      <w:pPr>
        <w:ind w:firstLine="567"/>
        <w:jc w:val="both"/>
        <w:rPr>
          <w:bCs/>
          <w:sz w:val="28"/>
          <w:szCs w:val="28"/>
        </w:rPr>
      </w:pPr>
      <w:r w:rsidRPr="00A41E8E">
        <w:rPr>
          <w:bCs/>
          <w:sz w:val="28"/>
          <w:szCs w:val="28"/>
        </w:rPr>
        <w:t xml:space="preserve">Для расчета внутренней нормы доходности </w:t>
      </w:r>
      <w:r>
        <w:rPr>
          <w:bCs/>
          <w:sz w:val="28"/>
          <w:szCs w:val="28"/>
        </w:rPr>
        <w:t xml:space="preserve">в </w:t>
      </w:r>
      <w:r>
        <w:rPr>
          <w:bCs/>
          <w:sz w:val="28"/>
          <w:szCs w:val="28"/>
          <w:lang w:val="en-US"/>
        </w:rPr>
        <w:t>MS</w:t>
      </w:r>
      <w:r w:rsidRPr="0090120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  <w:lang w:val="en-US"/>
        </w:rPr>
        <w:t>Excel</w:t>
      </w:r>
      <w:r w:rsidRPr="00901209">
        <w:rPr>
          <w:bCs/>
          <w:sz w:val="28"/>
          <w:szCs w:val="28"/>
        </w:rPr>
        <w:t xml:space="preserve"> </w:t>
      </w:r>
      <w:r w:rsidRPr="00A41E8E">
        <w:rPr>
          <w:bCs/>
          <w:sz w:val="28"/>
          <w:szCs w:val="28"/>
        </w:rPr>
        <w:t>необходимо создать блок вспомогательных ячеек В22:В25.</w:t>
      </w:r>
      <w:r>
        <w:rPr>
          <w:bCs/>
          <w:sz w:val="28"/>
          <w:szCs w:val="28"/>
        </w:rPr>
        <w:t xml:space="preserve"> </w:t>
      </w:r>
      <w:r w:rsidRPr="00A41E8E">
        <w:rPr>
          <w:bCs/>
          <w:sz w:val="28"/>
          <w:szCs w:val="28"/>
        </w:rPr>
        <w:t>В ячейку В22 необходимо записать значение нормы дисконта, при которой NPV проекта принимает положительное значение (например, 0.15). В ячейку В23 записывается значение чистой текущей стоимости соответствующее данной норме дисконта.</w:t>
      </w:r>
    </w:p>
    <w:p w:rsidR="00A8055D" w:rsidRPr="00A41E8E" w:rsidRDefault="00A8055D" w:rsidP="00A8055D">
      <w:pPr>
        <w:ind w:firstLine="567"/>
        <w:jc w:val="both"/>
        <w:rPr>
          <w:bCs/>
          <w:sz w:val="28"/>
          <w:szCs w:val="28"/>
        </w:rPr>
      </w:pPr>
      <w:r w:rsidRPr="00A41E8E">
        <w:rPr>
          <w:bCs/>
          <w:sz w:val="28"/>
          <w:szCs w:val="28"/>
        </w:rPr>
        <w:t xml:space="preserve">Далее необходимо подобрать такую величину нормы дисконта, при которой чистая текущая стоимость будет иметь отрицательное значение. </w:t>
      </w:r>
    </w:p>
    <w:p w:rsidR="00A8055D" w:rsidRPr="00A41E8E" w:rsidRDefault="00A8055D" w:rsidP="00A8055D">
      <w:pPr>
        <w:jc w:val="both"/>
        <w:rPr>
          <w:b/>
          <w:sz w:val="28"/>
          <w:szCs w:val="28"/>
        </w:rPr>
      </w:pPr>
      <w:r w:rsidRPr="00A41E8E">
        <w:rPr>
          <w:bCs/>
          <w:sz w:val="28"/>
          <w:szCs w:val="28"/>
        </w:rPr>
        <w:t xml:space="preserve">Например, возьмем норму дисконта равную 35% и подставим в ячейку </w:t>
      </w:r>
      <w:r w:rsidRPr="00A41E8E">
        <w:rPr>
          <w:b/>
          <w:sz w:val="28"/>
          <w:szCs w:val="28"/>
        </w:rPr>
        <w:t>В</w:t>
      </w:r>
      <w:proofErr w:type="gramStart"/>
      <w:r w:rsidRPr="00A41E8E">
        <w:rPr>
          <w:b/>
          <w:sz w:val="28"/>
          <w:szCs w:val="28"/>
        </w:rPr>
        <w:t>4</w:t>
      </w:r>
      <w:proofErr w:type="gramEnd"/>
      <w:r w:rsidRPr="00A41E8E">
        <w:rPr>
          <w:b/>
          <w:sz w:val="28"/>
          <w:szCs w:val="28"/>
        </w:rPr>
        <w:t>.</w:t>
      </w:r>
    </w:p>
    <w:p w:rsidR="00A8055D" w:rsidRPr="00A8055D" w:rsidRDefault="00A8055D" w:rsidP="00A8055D">
      <w:pPr>
        <w:pStyle w:val="a3"/>
        <w:spacing w:line="240" w:lineRule="auto"/>
        <w:ind w:firstLine="567"/>
        <w:rPr>
          <w:szCs w:val="28"/>
        </w:rPr>
      </w:pPr>
      <w:r w:rsidRPr="00A41E8E">
        <w:rPr>
          <w:rFonts w:eastAsia="SimSun"/>
          <w:szCs w:val="28"/>
          <w:lang w:eastAsia="zh-CN"/>
        </w:rPr>
        <w:t xml:space="preserve">В ячейке В15 будет выведен результат расчета </w:t>
      </w:r>
      <w:r w:rsidRPr="00A41E8E">
        <w:rPr>
          <w:rFonts w:eastAsia="SimSun"/>
          <w:szCs w:val="28"/>
          <w:lang w:val="en-US" w:eastAsia="zh-CN"/>
        </w:rPr>
        <w:t>NPV</w:t>
      </w:r>
      <w:r w:rsidRPr="00A41E8E">
        <w:rPr>
          <w:rFonts w:eastAsia="SimSun"/>
          <w:szCs w:val="28"/>
          <w:lang w:eastAsia="zh-CN"/>
        </w:rPr>
        <w:t xml:space="preserve"> при данной норме дисконта. П</w:t>
      </w:r>
      <w:r w:rsidRPr="00A41E8E">
        <w:rPr>
          <w:szCs w:val="28"/>
        </w:rPr>
        <w:t xml:space="preserve">ри </w:t>
      </w:r>
      <w:r w:rsidRPr="00A41E8E">
        <w:rPr>
          <w:szCs w:val="28"/>
          <w:lang w:val="en-US"/>
        </w:rPr>
        <w:t>R</w:t>
      </w:r>
      <w:r w:rsidRPr="00A41E8E">
        <w:rPr>
          <w:szCs w:val="28"/>
        </w:rPr>
        <w:t xml:space="preserve">=0.35, чистая текущая стоимость принимает отрицательное значение </w:t>
      </w:r>
      <w:r w:rsidRPr="00A41E8E">
        <w:rPr>
          <w:szCs w:val="28"/>
          <w:lang w:val="en-US"/>
        </w:rPr>
        <w:t>NPV</w:t>
      </w:r>
      <w:r w:rsidRPr="00A41E8E">
        <w:rPr>
          <w:szCs w:val="28"/>
        </w:rPr>
        <w:t xml:space="preserve"> = - 404,96 тыс. руб.</w:t>
      </w:r>
    </w:p>
    <w:p w:rsidR="00A8055D" w:rsidRPr="00A41E8E" w:rsidRDefault="00A8055D" w:rsidP="00A8055D">
      <w:pPr>
        <w:rPr>
          <w:bCs/>
          <w:sz w:val="28"/>
          <w:szCs w:val="28"/>
        </w:rPr>
      </w:pPr>
      <w:r w:rsidRPr="00A41E8E">
        <w:rPr>
          <w:bCs/>
          <w:sz w:val="28"/>
          <w:szCs w:val="28"/>
        </w:rPr>
        <w:t>Подставим эти значения в ячейки В23 и В25.</w:t>
      </w:r>
    </w:p>
    <w:p w:rsidR="00A8055D" w:rsidRPr="00A41E8E" w:rsidRDefault="00A8055D" w:rsidP="00A8055D">
      <w:pPr>
        <w:rPr>
          <w:bCs/>
          <w:sz w:val="28"/>
          <w:szCs w:val="28"/>
        </w:rPr>
      </w:pPr>
      <w:r w:rsidRPr="00A41E8E">
        <w:rPr>
          <w:bCs/>
          <w:sz w:val="28"/>
          <w:szCs w:val="28"/>
        </w:rPr>
        <w:t xml:space="preserve">Для расчета </w:t>
      </w:r>
      <w:r w:rsidRPr="00A41E8E">
        <w:rPr>
          <w:bCs/>
          <w:sz w:val="28"/>
          <w:szCs w:val="28"/>
          <w:lang w:val="en-US"/>
        </w:rPr>
        <w:t>IRR</w:t>
      </w:r>
      <w:r w:rsidRPr="00A41E8E">
        <w:rPr>
          <w:bCs/>
          <w:sz w:val="28"/>
          <w:szCs w:val="28"/>
        </w:rPr>
        <w:t xml:space="preserve"> в ячейку </w:t>
      </w:r>
      <w:r w:rsidRPr="00A41E8E">
        <w:rPr>
          <w:b/>
          <w:sz w:val="28"/>
          <w:szCs w:val="28"/>
        </w:rPr>
        <w:t>В27</w:t>
      </w:r>
      <w:r w:rsidR="009C1813">
        <w:rPr>
          <w:bCs/>
          <w:sz w:val="28"/>
          <w:szCs w:val="28"/>
        </w:rPr>
        <w:t xml:space="preserve"> введем расчетную формулу (</w:t>
      </w:r>
      <w:r w:rsidRPr="00A41E8E">
        <w:rPr>
          <w:bCs/>
          <w:sz w:val="28"/>
          <w:szCs w:val="28"/>
        </w:rPr>
        <w:t>7), указав ссылки на диапазон вспомогательных ячеек.</w:t>
      </w:r>
    </w:p>
    <w:p w:rsidR="00A8055D" w:rsidRPr="00A41E8E" w:rsidRDefault="00A8055D" w:rsidP="00A8055D">
      <w:pPr>
        <w:jc w:val="center"/>
        <w:rPr>
          <w:i/>
          <w:sz w:val="28"/>
          <w:szCs w:val="28"/>
        </w:rPr>
      </w:pPr>
    </w:p>
    <w:p w:rsidR="00A8055D" w:rsidRPr="00200639" w:rsidRDefault="00A8055D" w:rsidP="00A8055D">
      <w:r w:rsidRPr="00200639">
        <w:object w:dxaOrig="8714" w:dyaOrig="6046">
          <v:shape id="_x0000_i1042" type="#_x0000_t75" style="width:435.55pt;height:302.25pt" o:ole="" o:bordertopcolor="this" o:borderleftcolor="this" o:borderbottomcolor="this" o:borderrightcolor="this">
            <v:imagedata r:id="rId37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PBrush" ShapeID="_x0000_i1042" DrawAspect="Content" ObjectID="_1552462181" r:id="rId38"/>
        </w:object>
      </w:r>
    </w:p>
    <w:p w:rsidR="00A8055D" w:rsidRPr="00200639" w:rsidRDefault="00A8055D" w:rsidP="00A8055D">
      <w:pPr>
        <w:rPr>
          <w:lang w:val="en-US"/>
        </w:rPr>
      </w:pPr>
    </w:p>
    <w:p w:rsidR="00A8055D" w:rsidRPr="009876F4" w:rsidRDefault="00A8055D" w:rsidP="00A8055D">
      <w:pPr>
        <w:rPr>
          <w:sz w:val="28"/>
        </w:rPr>
      </w:pPr>
      <w:r w:rsidRPr="00A41E8E">
        <w:rPr>
          <w:sz w:val="28"/>
        </w:rPr>
        <w:t xml:space="preserve">В результате расчетов получим </w:t>
      </w:r>
      <w:r w:rsidRPr="00A41E8E">
        <w:rPr>
          <w:sz w:val="28"/>
          <w:lang w:val="en-US"/>
        </w:rPr>
        <w:t>IRR</w:t>
      </w:r>
      <w:r w:rsidRPr="00A41E8E">
        <w:rPr>
          <w:sz w:val="28"/>
        </w:rPr>
        <w:t>=30,66%</w:t>
      </w:r>
    </w:p>
    <w:p w:rsidR="00A8055D" w:rsidRDefault="00A8055D" w:rsidP="00A8055D">
      <w:r w:rsidRPr="00200639">
        <w:object w:dxaOrig="6314" w:dyaOrig="1890">
          <v:shape id="_x0000_i1043" type="#_x0000_t75" style="width:315.8pt;height:94.8pt" o:ole="" o:bordertopcolor="this" o:borderleftcolor="this" o:borderbottomcolor="this" o:borderrightcolor="this">
            <v:imagedata r:id="rId39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PBrush" ShapeID="_x0000_i1043" DrawAspect="Content" ObjectID="_1552462182" r:id="rId40"/>
        </w:object>
      </w:r>
    </w:p>
    <w:p w:rsidR="00A8055D" w:rsidRDefault="00A8055D" w:rsidP="00A8055D"/>
    <w:p w:rsidR="00A8055D" w:rsidRPr="009876F4" w:rsidRDefault="00A8055D" w:rsidP="00A8055D">
      <w:pPr>
        <w:jc w:val="both"/>
        <w:rPr>
          <w:iCs/>
          <w:sz w:val="28"/>
        </w:rPr>
      </w:pPr>
      <w:r w:rsidRPr="00F42DAF">
        <w:rPr>
          <w:iCs/>
          <w:sz w:val="28"/>
        </w:rPr>
        <w:t>Для повыше</w:t>
      </w:r>
      <w:r>
        <w:rPr>
          <w:iCs/>
          <w:sz w:val="28"/>
        </w:rPr>
        <w:t>ния наглядности построим график</w:t>
      </w:r>
      <w:r w:rsidRPr="00F42DAF">
        <w:rPr>
          <w:iCs/>
          <w:sz w:val="28"/>
        </w:rPr>
        <w:t>, отражающи</w:t>
      </w:r>
      <w:r>
        <w:rPr>
          <w:iCs/>
          <w:sz w:val="28"/>
        </w:rPr>
        <w:t xml:space="preserve">й зависимость чистой текущей стоимости от нормы дисконта </w:t>
      </w:r>
      <w:r w:rsidRPr="00F42DAF">
        <w:rPr>
          <w:iCs/>
          <w:sz w:val="28"/>
          <w:lang w:val="en-US"/>
        </w:rPr>
        <w:t>NPV</w:t>
      </w:r>
      <w:r w:rsidRPr="00F42DAF">
        <w:rPr>
          <w:iCs/>
          <w:sz w:val="28"/>
        </w:rPr>
        <w:t>=</w:t>
      </w:r>
      <w:r w:rsidRPr="00F42DAF">
        <w:rPr>
          <w:iCs/>
          <w:sz w:val="28"/>
          <w:lang w:val="en-US"/>
        </w:rPr>
        <w:t>f</w:t>
      </w:r>
      <w:r w:rsidRPr="00F42DAF">
        <w:rPr>
          <w:iCs/>
          <w:sz w:val="28"/>
        </w:rPr>
        <w:t>(</w:t>
      </w:r>
      <w:r w:rsidRPr="00F42DAF">
        <w:rPr>
          <w:iCs/>
          <w:sz w:val="28"/>
          <w:lang w:val="en-US"/>
        </w:rPr>
        <w:t>R</w:t>
      </w:r>
      <w:r>
        <w:rPr>
          <w:iCs/>
          <w:sz w:val="28"/>
        </w:rPr>
        <w:t>)</w:t>
      </w:r>
      <w:r w:rsidRPr="00F42DAF">
        <w:rPr>
          <w:iCs/>
          <w:sz w:val="28"/>
        </w:rPr>
        <w:t>.</w:t>
      </w:r>
    </w:p>
    <w:p w:rsidR="00A8055D" w:rsidRDefault="00A8055D" w:rsidP="00A8055D">
      <w:pPr>
        <w:rPr>
          <w:iCs/>
        </w:rPr>
      </w:pPr>
      <w:r w:rsidRPr="00200639">
        <w:rPr>
          <w:noProof/>
        </w:rPr>
        <w:drawing>
          <wp:inline distT="0" distB="0" distL="0" distR="0">
            <wp:extent cx="5572125" cy="2835255"/>
            <wp:effectExtent l="19050" t="0" r="9525" b="3195"/>
            <wp:docPr id="57" name="Объект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1"/>
              </a:graphicData>
            </a:graphic>
          </wp:inline>
        </w:drawing>
      </w:r>
    </w:p>
    <w:p w:rsidR="00A8055D" w:rsidRPr="009876F4" w:rsidRDefault="009C1813" w:rsidP="00A8055D">
      <w:pPr>
        <w:jc w:val="center"/>
        <w:rPr>
          <w:iCs/>
          <w:sz w:val="28"/>
        </w:rPr>
      </w:pPr>
      <w:r>
        <w:rPr>
          <w:iCs/>
          <w:sz w:val="28"/>
        </w:rPr>
        <w:t>Рисунок 2</w:t>
      </w:r>
      <w:r w:rsidR="00A8055D" w:rsidRPr="00F42DAF">
        <w:rPr>
          <w:iCs/>
          <w:sz w:val="28"/>
        </w:rPr>
        <w:t xml:space="preserve"> – Расчет внутренней нормы доходности</w:t>
      </w:r>
    </w:p>
    <w:p w:rsidR="00A8055D" w:rsidRPr="009C1813" w:rsidRDefault="00A8055D" w:rsidP="009C1813">
      <w:pPr>
        <w:pStyle w:val="3"/>
        <w:keepLines w:val="0"/>
        <w:spacing w:before="240" w:after="60"/>
        <w:ind w:left="1800"/>
        <w:rPr>
          <w:i/>
          <w:color w:val="auto"/>
          <w:sz w:val="28"/>
        </w:rPr>
      </w:pPr>
      <w:bookmarkStart w:id="3" w:name="_Toc301823122"/>
      <w:r w:rsidRPr="009C1813">
        <w:rPr>
          <w:color w:val="auto"/>
          <w:sz w:val="28"/>
        </w:rPr>
        <w:t>Динамический срок окупаемости (DPBP)</w:t>
      </w:r>
      <w:bookmarkEnd w:id="3"/>
    </w:p>
    <w:p w:rsidR="00A8055D" w:rsidRPr="009C1813" w:rsidRDefault="00A8055D" w:rsidP="00A8055D">
      <w:pPr>
        <w:ind w:firstLine="567"/>
        <w:jc w:val="both"/>
        <w:rPr>
          <w:b/>
          <w:bCs/>
          <w:iCs/>
          <w:sz w:val="28"/>
        </w:rPr>
      </w:pPr>
    </w:p>
    <w:p w:rsidR="00A8055D" w:rsidRPr="00A41E8E" w:rsidRDefault="00A8055D" w:rsidP="00A8055D">
      <w:pPr>
        <w:ind w:firstLine="567"/>
        <w:jc w:val="both"/>
        <w:rPr>
          <w:sz w:val="28"/>
        </w:rPr>
      </w:pPr>
      <w:r w:rsidRPr="009C1813">
        <w:rPr>
          <w:bCs/>
          <w:iCs/>
          <w:sz w:val="28"/>
        </w:rPr>
        <w:t>Динамический срок окупаемости (</w:t>
      </w:r>
      <w:r w:rsidRPr="009C1813">
        <w:rPr>
          <w:bCs/>
          <w:iCs/>
          <w:sz w:val="28"/>
          <w:lang w:val="en-US"/>
        </w:rPr>
        <w:t>DPBP</w:t>
      </w:r>
      <w:r w:rsidRPr="009C1813">
        <w:rPr>
          <w:bCs/>
          <w:iCs/>
          <w:sz w:val="28"/>
        </w:rPr>
        <w:t xml:space="preserve"> - </w:t>
      </w:r>
      <w:r w:rsidRPr="009C1813">
        <w:rPr>
          <w:bCs/>
          <w:iCs/>
          <w:sz w:val="28"/>
          <w:lang w:val="en-US"/>
        </w:rPr>
        <w:t>discounted</w:t>
      </w:r>
      <w:r w:rsidRPr="009C1813">
        <w:rPr>
          <w:bCs/>
          <w:iCs/>
          <w:sz w:val="28"/>
        </w:rPr>
        <w:t xml:space="preserve"> </w:t>
      </w:r>
      <w:proofErr w:type="spellStart"/>
      <w:r w:rsidRPr="009C1813">
        <w:rPr>
          <w:bCs/>
          <w:iCs/>
          <w:sz w:val="28"/>
        </w:rPr>
        <w:t>payback</w:t>
      </w:r>
      <w:proofErr w:type="spellEnd"/>
      <w:r w:rsidRPr="009C1813">
        <w:rPr>
          <w:bCs/>
          <w:iCs/>
          <w:sz w:val="28"/>
        </w:rPr>
        <w:t xml:space="preserve"> </w:t>
      </w:r>
      <w:proofErr w:type="spellStart"/>
      <w:r w:rsidRPr="009C1813">
        <w:rPr>
          <w:bCs/>
          <w:iCs/>
          <w:sz w:val="28"/>
        </w:rPr>
        <w:t>period</w:t>
      </w:r>
      <w:proofErr w:type="spellEnd"/>
      <w:r w:rsidRPr="009C1813">
        <w:rPr>
          <w:bCs/>
          <w:iCs/>
          <w:sz w:val="28"/>
        </w:rPr>
        <w:t>)</w:t>
      </w:r>
      <w:r w:rsidRPr="00A41E8E">
        <w:rPr>
          <w:sz w:val="28"/>
        </w:rPr>
        <w:t xml:space="preserve"> -  период времени (</w:t>
      </w:r>
      <w:r w:rsidRPr="00A41E8E">
        <w:rPr>
          <w:sz w:val="28"/>
          <w:lang w:val="en-US"/>
        </w:rPr>
        <w:t>t</w:t>
      </w:r>
      <w:r w:rsidRPr="00A41E8E">
        <w:rPr>
          <w:sz w:val="28"/>
        </w:rPr>
        <w:t xml:space="preserve">), который понадобится для возврата инвестированного капитала. </w:t>
      </w:r>
    </w:p>
    <w:p w:rsidR="00A8055D" w:rsidRPr="00D9285D" w:rsidRDefault="00A8055D" w:rsidP="00A8055D">
      <w:pPr>
        <w:spacing w:before="120" w:line="360" w:lineRule="auto"/>
        <w:ind w:firstLine="709"/>
        <w:jc w:val="right"/>
        <w:rPr>
          <w:iCs/>
        </w:rPr>
      </w:pPr>
      <w:r w:rsidRPr="00D7411D">
        <w:rPr>
          <w:iCs/>
          <w:position w:val="-42"/>
        </w:rPr>
        <w:object w:dxaOrig="4720" w:dyaOrig="980">
          <v:shape id="_x0000_i1044" type="#_x0000_t75" style="width:235.95pt;height:48.5pt" o:ole="">
            <v:imagedata r:id="rId42" o:title=""/>
          </v:shape>
          <o:OLEObject Type="Embed" ProgID="Equation.3" ShapeID="_x0000_i1044" DrawAspect="Content" ObjectID="_1552462183" r:id="rId43"/>
        </w:object>
      </w:r>
      <w:r w:rsidRPr="00D7411D">
        <w:rPr>
          <w:iCs/>
        </w:rPr>
        <w:t>,</w:t>
      </w:r>
      <w:r w:rsidRPr="00D9285D">
        <w:rPr>
          <w:iCs/>
        </w:rPr>
        <w:t xml:space="preserve">                            </w:t>
      </w:r>
      <w:r w:rsidR="009C1813">
        <w:rPr>
          <w:iCs/>
          <w:sz w:val="28"/>
        </w:rPr>
        <w:t>(</w:t>
      </w:r>
      <w:r w:rsidRPr="009C1813">
        <w:rPr>
          <w:iCs/>
          <w:sz w:val="28"/>
        </w:rPr>
        <w:t>8)</w:t>
      </w:r>
    </w:p>
    <w:p w:rsidR="00A8055D" w:rsidRPr="00D7411D" w:rsidRDefault="00A8055D" w:rsidP="00A8055D">
      <w:pPr>
        <w:pStyle w:val="a3"/>
        <w:spacing w:before="120" w:line="240" w:lineRule="auto"/>
        <w:rPr>
          <w:szCs w:val="28"/>
        </w:rPr>
      </w:pPr>
      <w:r w:rsidRPr="00D7411D">
        <w:rPr>
          <w:szCs w:val="28"/>
        </w:rPr>
        <w:t>Если срок окупаемости превышает инвестиционный период, то проект считается экономически неэффективным. Расчет дисконтированного срока окупаемости производится из следующего выражения:</w:t>
      </w:r>
    </w:p>
    <w:p w:rsidR="00A8055D" w:rsidRPr="00A41E8E" w:rsidRDefault="00A8055D" w:rsidP="00A8055D">
      <w:pPr>
        <w:spacing w:before="120"/>
        <w:ind w:firstLine="709"/>
        <w:jc w:val="right"/>
        <w:rPr>
          <w:sz w:val="28"/>
        </w:rPr>
      </w:pPr>
      <w:r w:rsidRPr="009C1813">
        <w:rPr>
          <w:i/>
          <w:position w:val="-36"/>
          <w:sz w:val="28"/>
        </w:rPr>
        <w:object w:dxaOrig="3379" w:dyaOrig="840">
          <v:shape id="_x0000_i1045" type="#_x0000_t75" style="width:168.95pt;height:42.05pt" o:ole="">
            <v:imagedata r:id="rId44" o:title=""/>
          </v:shape>
          <o:OLEObject Type="Embed" ProgID="Equation.3" ShapeID="_x0000_i1045" DrawAspect="Content" ObjectID="_1552462184" r:id="rId45"/>
        </w:object>
      </w:r>
      <w:r w:rsidRPr="009C1813">
        <w:rPr>
          <w:sz w:val="28"/>
        </w:rPr>
        <w:t xml:space="preserve">,                                       </w:t>
      </w:r>
      <w:r w:rsidR="009C1813">
        <w:rPr>
          <w:sz w:val="28"/>
        </w:rPr>
        <w:t>(9</w:t>
      </w:r>
      <w:r w:rsidRPr="009C1813">
        <w:rPr>
          <w:sz w:val="28"/>
        </w:rPr>
        <w:t>9)</w:t>
      </w:r>
    </w:p>
    <w:p w:rsidR="00A8055D" w:rsidRPr="00A41E8E" w:rsidRDefault="00A8055D" w:rsidP="00A8055D">
      <w:pPr>
        <w:jc w:val="both"/>
        <w:rPr>
          <w:sz w:val="28"/>
        </w:rPr>
      </w:pPr>
      <w:r w:rsidRPr="00A41E8E">
        <w:rPr>
          <w:sz w:val="28"/>
        </w:rPr>
        <w:t xml:space="preserve">где </w:t>
      </w:r>
      <w:r w:rsidRPr="00A41E8E">
        <w:rPr>
          <w:i/>
          <w:position w:val="-12"/>
          <w:sz w:val="28"/>
        </w:rPr>
        <w:object w:dxaOrig="260" w:dyaOrig="380">
          <v:shape id="_x0000_i1046" type="#_x0000_t75" style="width:12.85pt;height:18.55pt" o:ole="">
            <v:imagedata r:id="rId46" o:title=""/>
          </v:shape>
          <o:OLEObject Type="Embed" ProgID="Equation.3" ShapeID="_x0000_i1046" DrawAspect="Content" ObjectID="_1552462185" r:id="rId47"/>
        </w:object>
      </w:r>
      <w:r w:rsidRPr="00A41E8E">
        <w:rPr>
          <w:sz w:val="28"/>
        </w:rPr>
        <w:t xml:space="preserve"> - момент времени, в котором чистая текущая стоимость имеет</w:t>
      </w:r>
    </w:p>
    <w:p w:rsidR="00A8055D" w:rsidRPr="00A41E8E" w:rsidRDefault="00A8055D" w:rsidP="00A8055D">
      <w:pPr>
        <w:jc w:val="both"/>
        <w:rPr>
          <w:sz w:val="28"/>
        </w:rPr>
      </w:pPr>
      <w:r w:rsidRPr="00A41E8E">
        <w:rPr>
          <w:sz w:val="28"/>
        </w:rPr>
        <w:t xml:space="preserve">   отрицательное значение</w:t>
      </w:r>
      <w:proofErr w:type="gramStart"/>
      <w:r w:rsidRPr="00A41E8E">
        <w:rPr>
          <w:sz w:val="28"/>
        </w:rPr>
        <w:t xml:space="preserve"> (</w:t>
      </w:r>
      <w:r w:rsidRPr="00A41E8E">
        <w:rPr>
          <w:position w:val="-12"/>
          <w:sz w:val="28"/>
        </w:rPr>
        <w:object w:dxaOrig="1160" w:dyaOrig="380">
          <v:shape id="_x0000_i1047" type="#_x0000_t75" style="width:57.75pt;height:18.55pt" o:ole="">
            <v:imagedata r:id="rId48" o:title=""/>
          </v:shape>
          <o:OLEObject Type="Embed" ProgID="Equation.3" ShapeID="_x0000_i1047" DrawAspect="Content" ObjectID="_1552462186" r:id="rId49"/>
        </w:object>
      </w:r>
      <w:r w:rsidRPr="00A41E8E">
        <w:rPr>
          <w:sz w:val="28"/>
        </w:rPr>
        <w:t>);</w:t>
      </w:r>
      <w:proofErr w:type="gramEnd"/>
    </w:p>
    <w:p w:rsidR="00A8055D" w:rsidRPr="00A41E8E" w:rsidRDefault="00A8055D" w:rsidP="00A8055D">
      <w:pPr>
        <w:jc w:val="both"/>
        <w:rPr>
          <w:sz w:val="28"/>
        </w:rPr>
      </w:pPr>
      <w:r w:rsidRPr="00A41E8E">
        <w:rPr>
          <w:position w:val="-12"/>
          <w:sz w:val="28"/>
        </w:rPr>
        <w:t xml:space="preserve">       </w:t>
      </w:r>
      <w:r w:rsidRPr="00A41E8E">
        <w:rPr>
          <w:i/>
          <w:position w:val="-12"/>
          <w:sz w:val="28"/>
        </w:rPr>
        <w:object w:dxaOrig="300" w:dyaOrig="380">
          <v:shape id="_x0000_i1048" type="#_x0000_t75" style="width:14.25pt;height:18.55pt" o:ole="">
            <v:imagedata r:id="rId50" o:title=""/>
          </v:shape>
          <o:OLEObject Type="Embed" ProgID="Equation.3" ShapeID="_x0000_i1048" DrawAspect="Content" ObjectID="_1552462187" r:id="rId51"/>
        </w:object>
      </w:r>
      <w:r w:rsidRPr="00A41E8E">
        <w:rPr>
          <w:i/>
          <w:sz w:val="28"/>
        </w:rPr>
        <w:t xml:space="preserve"> </w:t>
      </w:r>
      <w:r w:rsidRPr="00A41E8E">
        <w:rPr>
          <w:sz w:val="28"/>
        </w:rPr>
        <w:t>- момент времени, в котором чистая текущая стоимость имеет</w:t>
      </w:r>
    </w:p>
    <w:p w:rsidR="00A8055D" w:rsidRPr="00A41E8E" w:rsidRDefault="00A8055D" w:rsidP="00A8055D">
      <w:pPr>
        <w:jc w:val="both"/>
        <w:rPr>
          <w:sz w:val="28"/>
        </w:rPr>
      </w:pPr>
      <w:r w:rsidRPr="00A41E8E">
        <w:rPr>
          <w:sz w:val="28"/>
        </w:rPr>
        <w:t xml:space="preserve">    положительное значение</w:t>
      </w:r>
      <w:proofErr w:type="gramStart"/>
      <w:r w:rsidRPr="00A41E8E">
        <w:rPr>
          <w:sz w:val="28"/>
        </w:rPr>
        <w:t xml:space="preserve"> (</w:t>
      </w:r>
      <w:r w:rsidRPr="00A41E8E">
        <w:rPr>
          <w:position w:val="-12"/>
          <w:sz w:val="28"/>
        </w:rPr>
        <w:object w:dxaOrig="1200" w:dyaOrig="380">
          <v:shape id="_x0000_i1049" type="#_x0000_t75" style="width:59.9pt;height:18.55pt" o:ole="">
            <v:imagedata r:id="rId52" o:title=""/>
          </v:shape>
          <o:OLEObject Type="Embed" ProgID="Equation.3" ShapeID="_x0000_i1049" DrawAspect="Content" ObjectID="_1552462188" r:id="rId53"/>
        </w:object>
      </w:r>
      <w:r w:rsidRPr="00A41E8E">
        <w:rPr>
          <w:sz w:val="28"/>
        </w:rPr>
        <w:t>).</w:t>
      </w:r>
      <w:proofErr w:type="gramEnd"/>
    </w:p>
    <w:p w:rsidR="00A8055D" w:rsidRDefault="00A8055D" w:rsidP="00A8055D">
      <w:pPr>
        <w:jc w:val="both"/>
      </w:pPr>
    </w:p>
    <w:p w:rsidR="00A8055D" w:rsidRPr="00F42DAF" w:rsidRDefault="00A8055D" w:rsidP="00A8055D">
      <w:pPr>
        <w:jc w:val="both"/>
        <w:rPr>
          <w:iCs/>
          <w:sz w:val="28"/>
        </w:rPr>
      </w:pPr>
      <w:proofErr w:type="gramStart"/>
      <w:r w:rsidRPr="00F42DAF">
        <w:rPr>
          <w:iCs/>
          <w:sz w:val="28"/>
        </w:rPr>
        <w:t xml:space="preserve">Для определения динамического срока окупаемости </w:t>
      </w:r>
      <w:r>
        <w:rPr>
          <w:iCs/>
          <w:sz w:val="28"/>
        </w:rPr>
        <w:t xml:space="preserve">в </w:t>
      </w:r>
      <w:r>
        <w:rPr>
          <w:iCs/>
          <w:sz w:val="28"/>
          <w:lang w:val="en-US"/>
        </w:rPr>
        <w:t>MS</w:t>
      </w:r>
      <w:r w:rsidRPr="00901209">
        <w:rPr>
          <w:iCs/>
          <w:sz w:val="28"/>
        </w:rPr>
        <w:t xml:space="preserve"> </w:t>
      </w:r>
      <w:r>
        <w:rPr>
          <w:iCs/>
          <w:sz w:val="28"/>
          <w:lang w:val="en-US"/>
        </w:rPr>
        <w:t>Excel</w:t>
      </w:r>
      <w:r w:rsidRPr="00901209">
        <w:rPr>
          <w:iCs/>
          <w:sz w:val="28"/>
        </w:rPr>
        <w:t xml:space="preserve"> </w:t>
      </w:r>
      <w:r w:rsidR="009C1813">
        <w:rPr>
          <w:iCs/>
          <w:sz w:val="28"/>
          <w:highlight w:val="green"/>
        </w:rPr>
        <w:t>(</w:t>
      </w:r>
      <w:r w:rsidRPr="00F42DAF">
        <w:rPr>
          <w:iCs/>
          <w:sz w:val="28"/>
        </w:rPr>
        <w:t>необходимо определить 2 момента времени:</w:t>
      </w:r>
      <w:proofErr w:type="gramEnd"/>
    </w:p>
    <w:p w:rsidR="00A8055D" w:rsidRPr="00F42DAF" w:rsidRDefault="00A8055D" w:rsidP="00A8055D">
      <w:pPr>
        <w:ind w:left="360"/>
        <w:jc w:val="both"/>
        <w:rPr>
          <w:sz w:val="28"/>
        </w:rPr>
      </w:pPr>
      <w:r w:rsidRPr="00F42DAF">
        <w:rPr>
          <w:sz w:val="28"/>
          <w:lang w:val="en-US"/>
        </w:rPr>
        <w:t>t</w:t>
      </w:r>
      <w:r w:rsidRPr="00F42DAF">
        <w:rPr>
          <w:sz w:val="28"/>
          <w:vertAlign w:val="subscript"/>
        </w:rPr>
        <w:t>1</w:t>
      </w:r>
      <w:r w:rsidRPr="00F42DAF">
        <w:rPr>
          <w:sz w:val="28"/>
        </w:rPr>
        <w:t xml:space="preserve"> - момент времени, когда </w:t>
      </w:r>
      <w:r w:rsidRPr="00F42DAF">
        <w:rPr>
          <w:sz w:val="28"/>
          <w:lang w:val="en-US"/>
        </w:rPr>
        <w:t>NPV</w:t>
      </w:r>
      <w:r w:rsidRPr="00F42DAF">
        <w:rPr>
          <w:sz w:val="28"/>
        </w:rPr>
        <w:t>&lt;0,</w:t>
      </w:r>
    </w:p>
    <w:p w:rsidR="00A8055D" w:rsidRPr="00F42DAF" w:rsidRDefault="00A8055D" w:rsidP="00A8055D">
      <w:pPr>
        <w:ind w:left="360"/>
        <w:jc w:val="both"/>
        <w:rPr>
          <w:sz w:val="28"/>
        </w:rPr>
      </w:pPr>
      <w:proofErr w:type="gramStart"/>
      <w:r w:rsidRPr="00F42DAF">
        <w:rPr>
          <w:sz w:val="28"/>
          <w:lang w:val="en-US"/>
        </w:rPr>
        <w:t>t</w:t>
      </w:r>
      <w:r w:rsidRPr="00F42DAF">
        <w:rPr>
          <w:sz w:val="28"/>
          <w:vertAlign w:val="subscript"/>
        </w:rPr>
        <w:t>2</w:t>
      </w:r>
      <w:r w:rsidRPr="00F42DAF">
        <w:rPr>
          <w:sz w:val="28"/>
        </w:rPr>
        <w:t xml:space="preserve"> – момент времени, когда </w:t>
      </w:r>
      <w:r w:rsidRPr="00F42DAF">
        <w:rPr>
          <w:sz w:val="28"/>
          <w:lang w:val="en-US"/>
        </w:rPr>
        <w:t>NPV</w:t>
      </w:r>
      <w:r w:rsidRPr="00F42DAF">
        <w:rPr>
          <w:sz w:val="28"/>
        </w:rPr>
        <w:t>&gt;0.</w:t>
      </w:r>
      <w:proofErr w:type="gramEnd"/>
    </w:p>
    <w:p w:rsidR="00A8055D" w:rsidRDefault="00A8055D" w:rsidP="00A8055D">
      <w:pPr>
        <w:jc w:val="both"/>
        <w:rPr>
          <w:sz w:val="28"/>
        </w:rPr>
      </w:pPr>
    </w:p>
    <w:p w:rsidR="00A8055D" w:rsidRDefault="00A8055D" w:rsidP="00A8055D">
      <w:pPr>
        <w:jc w:val="both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5619750" cy="1828800"/>
            <wp:effectExtent l="19050" t="0" r="0" b="0"/>
            <wp:docPr id="436" name="Рисунок 4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6"/>
                    <pic:cNvPicPr>
                      <a:picLocks noChangeAspect="1" noChangeArrowheads="1"/>
                    </pic:cNvPicPr>
                  </pic:nvPicPr>
                  <pic:blipFill>
                    <a:blip r:embed="rId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055D" w:rsidRDefault="00A8055D" w:rsidP="00A8055D">
      <w:pPr>
        <w:jc w:val="both"/>
        <w:rPr>
          <w:sz w:val="28"/>
        </w:rPr>
      </w:pPr>
    </w:p>
    <w:p w:rsidR="00A8055D" w:rsidRDefault="00A8055D" w:rsidP="00A8055D">
      <w:pPr>
        <w:jc w:val="both"/>
        <w:rPr>
          <w:sz w:val="28"/>
        </w:rPr>
      </w:pPr>
      <w:r w:rsidRPr="00F42DAF">
        <w:rPr>
          <w:sz w:val="28"/>
        </w:rPr>
        <w:t xml:space="preserve">Из последней строки </w:t>
      </w:r>
      <w:r w:rsidR="009C1813">
        <w:rPr>
          <w:sz w:val="28"/>
        </w:rPr>
        <w:t xml:space="preserve">представленной выше </w:t>
      </w:r>
      <w:r w:rsidRPr="009C1813">
        <w:rPr>
          <w:sz w:val="28"/>
        </w:rPr>
        <w:t>таблицы</w:t>
      </w:r>
      <w:r w:rsidRPr="00F42DAF">
        <w:rPr>
          <w:sz w:val="28"/>
        </w:rPr>
        <w:t xml:space="preserve"> видно, что срок окупаемости </w:t>
      </w:r>
      <w:r>
        <w:rPr>
          <w:sz w:val="28"/>
        </w:rPr>
        <w:t>составляет</w:t>
      </w:r>
      <w:r w:rsidRPr="00F42DAF">
        <w:rPr>
          <w:sz w:val="28"/>
        </w:rPr>
        <w:t xml:space="preserve"> бо</w:t>
      </w:r>
      <w:r>
        <w:rPr>
          <w:sz w:val="28"/>
        </w:rPr>
        <w:t xml:space="preserve">льше трех, но меньше четырех </w:t>
      </w:r>
      <w:r w:rsidRPr="00F42DAF">
        <w:rPr>
          <w:sz w:val="28"/>
        </w:rPr>
        <w:t xml:space="preserve">лет, т.е. в третьем году </w:t>
      </w:r>
      <w:r w:rsidRPr="00F42DAF">
        <w:rPr>
          <w:sz w:val="28"/>
          <w:lang w:val="en-US"/>
        </w:rPr>
        <w:t>NPV</w:t>
      </w:r>
      <w:r w:rsidRPr="00F42DAF">
        <w:rPr>
          <w:sz w:val="28"/>
        </w:rPr>
        <w:t xml:space="preserve">&lt;0, а в четвертом году  </w:t>
      </w:r>
      <w:r w:rsidRPr="00F42DAF">
        <w:rPr>
          <w:sz w:val="28"/>
          <w:lang w:val="en-US"/>
        </w:rPr>
        <w:t>NPV</w:t>
      </w:r>
      <w:r w:rsidRPr="00F42DAF">
        <w:rPr>
          <w:sz w:val="28"/>
        </w:rPr>
        <w:t>&gt;0. Д</w:t>
      </w:r>
      <w:r>
        <w:rPr>
          <w:sz w:val="28"/>
        </w:rPr>
        <w:t>ля расчета точного значения срока окупаемости</w:t>
      </w:r>
      <w:r w:rsidRPr="00F42DAF">
        <w:rPr>
          <w:sz w:val="28"/>
        </w:rPr>
        <w:t xml:space="preserve"> необходимо создать блок дополнительных ячеек, указав в них ссылки на соответствующие ячейки.</w:t>
      </w:r>
    </w:p>
    <w:p w:rsidR="00A8055D" w:rsidRPr="00F42DAF" w:rsidRDefault="00A8055D" w:rsidP="00A8055D">
      <w:pPr>
        <w:jc w:val="both"/>
        <w:rPr>
          <w:sz w:val="28"/>
        </w:rPr>
      </w:pPr>
    </w:p>
    <w:p w:rsidR="00A8055D" w:rsidRPr="00200639" w:rsidRDefault="00A8055D" w:rsidP="00A8055D">
      <w:r w:rsidRPr="00200639">
        <w:object w:dxaOrig="6076" w:dyaOrig="2175">
          <v:shape id="_x0000_i1050" type="#_x0000_t75" style="width:303.7pt;height:109.05pt" o:ole="" o:bordertopcolor="this" o:borderleftcolor="this" o:borderbottomcolor="this" o:borderrightcolor="this">
            <v:imagedata r:id="rId55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PBrush" ShapeID="_x0000_i1050" DrawAspect="Content" ObjectID="_1552462189" r:id="rId56"/>
        </w:object>
      </w:r>
    </w:p>
    <w:p w:rsidR="00A8055D" w:rsidRPr="00200639" w:rsidRDefault="00A8055D" w:rsidP="00A8055D"/>
    <w:p w:rsidR="00A8055D" w:rsidRDefault="00A8055D" w:rsidP="00A8055D">
      <w:pPr>
        <w:rPr>
          <w:sz w:val="28"/>
        </w:rPr>
      </w:pPr>
      <w:r w:rsidRPr="00F42DAF">
        <w:rPr>
          <w:sz w:val="28"/>
        </w:rPr>
        <w:t>В ячейку В36 введена расчетная формул</w:t>
      </w:r>
      <w:r w:rsidRPr="009C1813">
        <w:rPr>
          <w:sz w:val="28"/>
        </w:rPr>
        <w:t xml:space="preserve">а </w:t>
      </w:r>
      <w:r w:rsidR="009C1813">
        <w:rPr>
          <w:sz w:val="28"/>
        </w:rPr>
        <w:t>(</w:t>
      </w:r>
      <w:r w:rsidRPr="009C1813">
        <w:rPr>
          <w:sz w:val="28"/>
        </w:rPr>
        <w:t>9):</w:t>
      </w:r>
    </w:p>
    <w:p w:rsidR="00A8055D" w:rsidRPr="00F42DAF" w:rsidRDefault="00A8055D" w:rsidP="00A8055D">
      <w:pPr>
        <w:rPr>
          <w:sz w:val="28"/>
        </w:rPr>
      </w:pPr>
    </w:p>
    <w:p w:rsidR="00A8055D" w:rsidRPr="00200639" w:rsidRDefault="00A8055D" w:rsidP="00A8055D">
      <w:pPr>
        <w:rPr>
          <w:iCs/>
        </w:rPr>
      </w:pPr>
      <w:r w:rsidRPr="00200639">
        <w:object w:dxaOrig="9074" w:dyaOrig="2190">
          <v:shape id="_x0000_i1051" type="#_x0000_t75" style="width:453.4pt;height:109.8pt" o:ole="" o:bordertopcolor="this" o:borderleftcolor="this" o:borderbottomcolor="this" o:borderrightcolor="this">
            <v:imagedata r:id="rId57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PBrush" ShapeID="_x0000_i1051" DrawAspect="Content" ObjectID="_1552462190" r:id="rId58"/>
        </w:object>
      </w:r>
    </w:p>
    <w:p w:rsidR="00A8055D" w:rsidRPr="00200639" w:rsidRDefault="00A8055D" w:rsidP="00A8055D">
      <w:pPr>
        <w:rPr>
          <w:iCs/>
        </w:rPr>
      </w:pPr>
    </w:p>
    <w:p w:rsidR="00A8055D" w:rsidRPr="00F42DAF" w:rsidRDefault="00A8055D" w:rsidP="00A8055D">
      <w:pPr>
        <w:jc w:val="both"/>
        <w:rPr>
          <w:iCs/>
          <w:sz w:val="28"/>
        </w:rPr>
      </w:pPr>
      <w:r w:rsidRPr="00F42DAF">
        <w:rPr>
          <w:iCs/>
          <w:sz w:val="28"/>
        </w:rPr>
        <w:t xml:space="preserve">В результате получим </w:t>
      </w:r>
      <w:r w:rsidRPr="00F42DAF">
        <w:rPr>
          <w:iCs/>
          <w:sz w:val="28"/>
          <w:lang w:val="en-US"/>
        </w:rPr>
        <w:t>DPBP</w:t>
      </w:r>
      <w:r w:rsidRPr="00F42DAF">
        <w:rPr>
          <w:iCs/>
          <w:sz w:val="28"/>
        </w:rPr>
        <w:t xml:space="preserve"> = 3,27 года. Для повыше</w:t>
      </w:r>
      <w:r>
        <w:rPr>
          <w:iCs/>
          <w:sz w:val="28"/>
        </w:rPr>
        <w:t>ния наглядности построим график</w:t>
      </w:r>
      <w:r w:rsidRPr="00F42DAF">
        <w:rPr>
          <w:iCs/>
          <w:sz w:val="28"/>
        </w:rPr>
        <w:t>, отражающи</w:t>
      </w:r>
      <w:r>
        <w:rPr>
          <w:iCs/>
          <w:sz w:val="28"/>
        </w:rPr>
        <w:t>й</w:t>
      </w:r>
      <w:r w:rsidRPr="00F42DAF">
        <w:rPr>
          <w:iCs/>
          <w:sz w:val="28"/>
        </w:rPr>
        <w:t xml:space="preserve"> </w:t>
      </w:r>
      <w:r>
        <w:rPr>
          <w:iCs/>
          <w:sz w:val="28"/>
        </w:rPr>
        <w:t>динамику чистой текущей стоимости во времени</w:t>
      </w:r>
      <w:r w:rsidRPr="00F42DAF">
        <w:rPr>
          <w:iCs/>
          <w:sz w:val="28"/>
        </w:rPr>
        <w:t xml:space="preserve"> </w:t>
      </w:r>
      <w:r w:rsidRPr="00F42DAF">
        <w:rPr>
          <w:iCs/>
          <w:sz w:val="28"/>
          <w:lang w:val="en-US"/>
        </w:rPr>
        <w:t>NPV</w:t>
      </w:r>
      <w:r w:rsidRPr="00F42DAF">
        <w:rPr>
          <w:iCs/>
          <w:sz w:val="28"/>
        </w:rPr>
        <w:t>=</w:t>
      </w:r>
      <w:r w:rsidRPr="00F42DAF">
        <w:rPr>
          <w:iCs/>
          <w:sz w:val="28"/>
          <w:lang w:val="en-US"/>
        </w:rPr>
        <w:t>f</w:t>
      </w:r>
      <w:r w:rsidRPr="00F42DAF">
        <w:rPr>
          <w:iCs/>
          <w:sz w:val="28"/>
        </w:rPr>
        <w:t>(</w:t>
      </w:r>
      <w:r w:rsidRPr="00F42DAF">
        <w:rPr>
          <w:iCs/>
          <w:sz w:val="28"/>
          <w:lang w:val="en-US"/>
        </w:rPr>
        <w:t>t</w:t>
      </w:r>
      <w:r w:rsidRPr="00F42DAF">
        <w:rPr>
          <w:iCs/>
          <w:sz w:val="28"/>
        </w:rPr>
        <w:t>).</w:t>
      </w:r>
    </w:p>
    <w:p w:rsidR="00A8055D" w:rsidRPr="0079501D" w:rsidRDefault="00A8055D" w:rsidP="00A8055D">
      <w:pPr>
        <w:rPr>
          <w:iCs/>
        </w:rPr>
      </w:pPr>
    </w:p>
    <w:p w:rsidR="00A8055D" w:rsidRDefault="00A8055D" w:rsidP="00A8055D">
      <w:pPr>
        <w:jc w:val="center"/>
      </w:pPr>
      <w:r w:rsidRPr="00200639">
        <w:rPr>
          <w:noProof/>
        </w:rPr>
        <w:lastRenderedPageBreak/>
        <w:drawing>
          <wp:inline distT="0" distB="0" distL="0" distR="0">
            <wp:extent cx="5934075" cy="2876550"/>
            <wp:effectExtent l="19050" t="0" r="9525" b="0"/>
            <wp:docPr id="2" name="Объект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9"/>
              </a:graphicData>
            </a:graphic>
          </wp:inline>
        </w:drawing>
      </w:r>
    </w:p>
    <w:p w:rsidR="00A8055D" w:rsidRPr="00F42DAF" w:rsidRDefault="00A8055D" w:rsidP="00A8055D">
      <w:pPr>
        <w:jc w:val="center"/>
        <w:rPr>
          <w:sz w:val="28"/>
        </w:rPr>
      </w:pPr>
      <w:r w:rsidRPr="00F42DAF">
        <w:rPr>
          <w:sz w:val="28"/>
        </w:rPr>
        <w:t xml:space="preserve">Рисунок </w:t>
      </w:r>
      <w:r w:rsidRPr="009C1813">
        <w:rPr>
          <w:sz w:val="28"/>
        </w:rPr>
        <w:t>3</w:t>
      </w:r>
      <w:r w:rsidRPr="00F42DAF">
        <w:rPr>
          <w:sz w:val="28"/>
        </w:rPr>
        <w:t xml:space="preserve"> – Динамика чистой текущей стоимости</w:t>
      </w:r>
    </w:p>
    <w:p w:rsidR="00A8055D" w:rsidRPr="0079501D" w:rsidRDefault="00A8055D" w:rsidP="00A8055D"/>
    <w:p w:rsidR="00A8055D" w:rsidRPr="0079501D" w:rsidRDefault="00A8055D" w:rsidP="00A8055D">
      <w:pPr>
        <w:rPr>
          <w:iCs/>
        </w:rPr>
      </w:pPr>
    </w:p>
    <w:p w:rsidR="00A8055D" w:rsidRPr="00C96FB7" w:rsidRDefault="00A8055D" w:rsidP="00A8055D">
      <w:pPr>
        <w:shd w:val="clear" w:color="auto" w:fill="FFFFFF"/>
        <w:ind w:firstLine="360"/>
        <w:jc w:val="both"/>
        <w:rPr>
          <w:sz w:val="28"/>
          <w:szCs w:val="28"/>
        </w:rPr>
      </w:pPr>
      <w:r w:rsidRPr="00C96FB7">
        <w:rPr>
          <w:sz w:val="28"/>
          <w:szCs w:val="28"/>
        </w:rPr>
        <w:t>Динамические показатели являются основой существующих официальных рекомендательных документов по оценке эффективности инвестиционных проектов</w:t>
      </w:r>
      <w:r>
        <w:rPr>
          <w:sz w:val="28"/>
          <w:szCs w:val="28"/>
        </w:rPr>
        <w:t>.</w:t>
      </w:r>
      <w:r w:rsidRPr="00C96FB7">
        <w:rPr>
          <w:sz w:val="28"/>
          <w:szCs w:val="28"/>
        </w:rPr>
        <w:t xml:space="preserve"> В целом они позволяют устранить недостатки, присущие статическим методам, однако имеют свои упущения, среди которых особо следует отметить следующие: </w:t>
      </w:r>
    </w:p>
    <w:p w:rsidR="00A8055D" w:rsidRPr="00C96FB7" w:rsidRDefault="00A8055D" w:rsidP="00A8055D">
      <w:pPr>
        <w:numPr>
          <w:ilvl w:val="0"/>
          <w:numId w:val="7"/>
        </w:numPr>
        <w:shd w:val="clear" w:color="auto" w:fill="FFFFFF"/>
        <w:jc w:val="both"/>
        <w:rPr>
          <w:sz w:val="28"/>
          <w:szCs w:val="28"/>
        </w:rPr>
      </w:pPr>
      <w:r w:rsidRPr="00C96FB7">
        <w:rPr>
          <w:sz w:val="28"/>
          <w:szCs w:val="28"/>
        </w:rPr>
        <w:t>Сложность выбора значения нормы дисконта, отсутствие надежных методов расчета этой величины.</w:t>
      </w:r>
    </w:p>
    <w:p w:rsidR="00A8055D" w:rsidRPr="00C96FB7" w:rsidRDefault="00A8055D" w:rsidP="00A8055D">
      <w:pPr>
        <w:numPr>
          <w:ilvl w:val="0"/>
          <w:numId w:val="7"/>
        </w:numPr>
        <w:shd w:val="clear" w:color="auto" w:fill="FFFFFF"/>
        <w:jc w:val="both"/>
        <w:rPr>
          <w:sz w:val="28"/>
          <w:szCs w:val="28"/>
        </w:rPr>
      </w:pPr>
      <w:r w:rsidRPr="00C96FB7">
        <w:rPr>
          <w:sz w:val="28"/>
          <w:szCs w:val="28"/>
        </w:rPr>
        <w:t xml:space="preserve">Основой оценки эффективности </w:t>
      </w:r>
      <w:r>
        <w:rPr>
          <w:sz w:val="28"/>
          <w:szCs w:val="28"/>
        </w:rPr>
        <w:t>инвестиционных проектов</w:t>
      </w:r>
      <w:r w:rsidRPr="00C96FB7">
        <w:rPr>
          <w:sz w:val="28"/>
          <w:szCs w:val="28"/>
        </w:rPr>
        <w:t xml:space="preserve"> являются прогнозы, которые, в силу неопределенности, неизбежно сопутствующей инвестиционной деятельности, часто неточны. </w:t>
      </w:r>
    </w:p>
    <w:p w:rsidR="00A8055D" w:rsidRPr="00C96FB7" w:rsidRDefault="00A8055D" w:rsidP="00A8055D">
      <w:pPr>
        <w:numPr>
          <w:ilvl w:val="0"/>
          <w:numId w:val="7"/>
        </w:numPr>
        <w:shd w:val="clear" w:color="auto" w:fill="FFFFFF"/>
        <w:jc w:val="both"/>
        <w:rPr>
          <w:sz w:val="28"/>
          <w:szCs w:val="28"/>
        </w:rPr>
      </w:pPr>
      <w:r w:rsidRPr="00C96FB7">
        <w:rPr>
          <w:sz w:val="28"/>
          <w:szCs w:val="28"/>
        </w:rPr>
        <w:t xml:space="preserve">Не учитывается потенциальная выгода фактора неопределенности. Неопределенность рассматривается как негативный фактор. </w:t>
      </w:r>
      <w:r>
        <w:rPr>
          <w:sz w:val="28"/>
        </w:rPr>
        <w:t>Чем выше неопределенность, тем выше ставка дисконтирования, тем меньше стоимость проекта, следовательно, его эффективность. В тоже время руководство компании может извлечь выгоду из её существования в результате принятия гибких решений. Следовательно, неопределенность является фактором возможного роста.</w:t>
      </w:r>
    </w:p>
    <w:p w:rsidR="00A8055D" w:rsidRPr="00C96FB7" w:rsidRDefault="00A8055D" w:rsidP="00A8055D">
      <w:pPr>
        <w:numPr>
          <w:ilvl w:val="0"/>
          <w:numId w:val="7"/>
        </w:numPr>
        <w:shd w:val="clear" w:color="auto" w:fill="FFFFFF"/>
        <w:jc w:val="both"/>
        <w:rPr>
          <w:sz w:val="28"/>
          <w:szCs w:val="28"/>
        </w:rPr>
      </w:pPr>
      <w:r w:rsidRPr="00C96FB7">
        <w:rPr>
          <w:sz w:val="28"/>
          <w:szCs w:val="28"/>
        </w:rPr>
        <w:t xml:space="preserve">Предполагается, что решение о реализации проекта принимается в начальный момент времени, а после этого денежные потоки предопределены. </w:t>
      </w:r>
    </w:p>
    <w:p w:rsidR="00A8055D" w:rsidRPr="00C96FB7" w:rsidRDefault="00A8055D" w:rsidP="00A8055D">
      <w:pPr>
        <w:numPr>
          <w:ilvl w:val="0"/>
          <w:numId w:val="7"/>
        </w:numPr>
        <w:shd w:val="clear" w:color="auto" w:fill="FFFFFF"/>
        <w:jc w:val="both"/>
        <w:rPr>
          <w:sz w:val="28"/>
          <w:szCs w:val="28"/>
        </w:rPr>
      </w:pPr>
      <w:r w:rsidRPr="00C96FB7">
        <w:rPr>
          <w:sz w:val="28"/>
          <w:szCs w:val="28"/>
        </w:rPr>
        <w:t xml:space="preserve">Не учитывается возможность руководства вносить изменения в стратегические планы при получении новой информации о рыночной конъюнктуре. </w:t>
      </w:r>
    </w:p>
    <w:p w:rsidR="00A8055D" w:rsidRDefault="00A8055D" w:rsidP="00A8055D">
      <w:pPr>
        <w:ind w:firstLine="357"/>
        <w:jc w:val="both"/>
        <w:rPr>
          <w:color w:val="000000"/>
          <w:sz w:val="28"/>
          <w:szCs w:val="28"/>
        </w:rPr>
      </w:pPr>
    </w:p>
    <w:p w:rsidR="00A8055D" w:rsidRDefault="00A8055D" w:rsidP="00A8055D">
      <w:pPr>
        <w:ind w:firstLine="357"/>
        <w:jc w:val="both"/>
        <w:rPr>
          <w:color w:val="000000"/>
          <w:sz w:val="28"/>
          <w:szCs w:val="28"/>
        </w:rPr>
      </w:pPr>
    </w:p>
    <w:p w:rsidR="00A8055D" w:rsidRDefault="00A8055D" w:rsidP="00A8055D">
      <w:pPr>
        <w:ind w:firstLine="357"/>
        <w:jc w:val="both"/>
        <w:rPr>
          <w:color w:val="000000"/>
          <w:sz w:val="28"/>
          <w:szCs w:val="28"/>
        </w:rPr>
      </w:pPr>
    </w:p>
    <w:p w:rsidR="00A8055D" w:rsidRDefault="00A8055D" w:rsidP="00A8055D">
      <w:pPr>
        <w:ind w:firstLine="357"/>
        <w:jc w:val="both"/>
        <w:rPr>
          <w:color w:val="000000"/>
          <w:sz w:val="28"/>
          <w:szCs w:val="28"/>
        </w:rPr>
      </w:pPr>
    </w:p>
    <w:p w:rsidR="009C1813" w:rsidRDefault="009C1813" w:rsidP="00A8055D">
      <w:pPr>
        <w:ind w:firstLine="357"/>
        <w:jc w:val="both"/>
        <w:rPr>
          <w:color w:val="000000"/>
          <w:sz w:val="28"/>
          <w:szCs w:val="28"/>
        </w:rPr>
      </w:pPr>
    </w:p>
    <w:p w:rsidR="009C1813" w:rsidRDefault="009C1813" w:rsidP="00A8055D">
      <w:pPr>
        <w:ind w:firstLine="357"/>
        <w:jc w:val="both"/>
        <w:rPr>
          <w:b/>
          <w:i/>
          <w:color w:val="000000"/>
          <w:sz w:val="28"/>
          <w:szCs w:val="28"/>
        </w:rPr>
      </w:pPr>
      <w:r w:rsidRPr="009C1813">
        <w:rPr>
          <w:b/>
          <w:i/>
          <w:color w:val="000000"/>
          <w:sz w:val="28"/>
          <w:szCs w:val="28"/>
        </w:rPr>
        <w:lastRenderedPageBreak/>
        <w:t>2.</w:t>
      </w:r>
      <w:r>
        <w:rPr>
          <w:b/>
          <w:i/>
          <w:color w:val="000000"/>
          <w:sz w:val="28"/>
          <w:szCs w:val="28"/>
        </w:rPr>
        <w:t xml:space="preserve">Исходные данные </w:t>
      </w:r>
      <w:r w:rsidRPr="009C1813">
        <w:rPr>
          <w:b/>
          <w:i/>
          <w:color w:val="000000"/>
          <w:sz w:val="28"/>
          <w:szCs w:val="28"/>
        </w:rPr>
        <w:t xml:space="preserve">к выполнению контрольной работы </w:t>
      </w:r>
    </w:p>
    <w:p w:rsidR="009C1813" w:rsidRPr="009C1813" w:rsidRDefault="009C1813" w:rsidP="00A8055D">
      <w:pPr>
        <w:ind w:firstLine="357"/>
        <w:jc w:val="both"/>
        <w:rPr>
          <w:b/>
          <w:i/>
          <w:color w:val="000000"/>
          <w:sz w:val="28"/>
          <w:szCs w:val="28"/>
        </w:rPr>
      </w:pPr>
    </w:p>
    <w:p w:rsidR="00A8055D" w:rsidRDefault="00A8055D" w:rsidP="00A8055D">
      <w:pPr>
        <w:ind w:firstLine="35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заданию руководства фирмы необходимо оценить экономическую эффективность инвестиционного проекта, проанализировать целесообразность его включения в план стратегического развития. Определить чистую текущую стоимость (</w:t>
      </w:r>
      <w:r>
        <w:rPr>
          <w:color w:val="000000"/>
          <w:sz w:val="28"/>
          <w:szCs w:val="28"/>
          <w:lang w:val="en-US"/>
        </w:rPr>
        <w:t>NPV</w:t>
      </w:r>
      <w:r>
        <w:rPr>
          <w:color w:val="000000"/>
          <w:sz w:val="28"/>
          <w:szCs w:val="28"/>
        </w:rPr>
        <w:t>), индекс доходности (</w:t>
      </w:r>
      <w:r>
        <w:rPr>
          <w:color w:val="000000"/>
          <w:sz w:val="28"/>
          <w:szCs w:val="28"/>
          <w:lang w:val="en-US"/>
        </w:rPr>
        <w:t>PI</w:t>
      </w:r>
      <w:r>
        <w:rPr>
          <w:color w:val="000000"/>
          <w:sz w:val="28"/>
          <w:szCs w:val="28"/>
        </w:rPr>
        <w:t>), внутреннюю норму доходности (</w:t>
      </w:r>
      <w:r>
        <w:rPr>
          <w:color w:val="000000"/>
          <w:sz w:val="28"/>
          <w:szCs w:val="28"/>
          <w:lang w:val="en-US"/>
        </w:rPr>
        <w:t>IRR</w:t>
      </w:r>
      <w:r>
        <w:rPr>
          <w:color w:val="000000"/>
          <w:sz w:val="28"/>
          <w:szCs w:val="28"/>
        </w:rPr>
        <w:t>), срок окупаемости (</w:t>
      </w:r>
      <w:r>
        <w:rPr>
          <w:color w:val="000000"/>
          <w:sz w:val="28"/>
          <w:szCs w:val="28"/>
          <w:lang w:val="en-US"/>
        </w:rPr>
        <w:t>DPBP</w:t>
      </w:r>
      <w:r>
        <w:rPr>
          <w:color w:val="000000"/>
          <w:sz w:val="28"/>
          <w:szCs w:val="28"/>
        </w:rPr>
        <w:t>).</w:t>
      </w:r>
      <w:r w:rsidR="00DE515A">
        <w:rPr>
          <w:color w:val="000000"/>
          <w:sz w:val="28"/>
          <w:szCs w:val="28"/>
        </w:rPr>
        <w:t xml:space="preserve"> По итогам проведенных расчетов сделать выводы.</w:t>
      </w:r>
    </w:p>
    <w:p w:rsidR="00A8055D" w:rsidRDefault="00A8055D" w:rsidP="00A8055D">
      <w:pPr>
        <w:jc w:val="both"/>
        <w:rPr>
          <w:color w:val="000000"/>
          <w:sz w:val="28"/>
          <w:szCs w:val="28"/>
        </w:rPr>
      </w:pPr>
    </w:p>
    <w:p w:rsidR="00A8055D" w:rsidRDefault="00A8055D" w:rsidP="00A8055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Распределение чистого потока денежных средств (</w:t>
      </w:r>
      <w:r>
        <w:rPr>
          <w:color w:val="000000"/>
          <w:sz w:val="28"/>
          <w:szCs w:val="28"/>
          <w:lang w:val="en-US"/>
        </w:rPr>
        <w:t>NCF</w:t>
      </w:r>
      <w:r>
        <w:rPr>
          <w:color w:val="000000"/>
          <w:sz w:val="28"/>
          <w:szCs w:val="28"/>
        </w:rPr>
        <w:t xml:space="preserve">) по годам проектного </w:t>
      </w:r>
      <w:r w:rsidR="00DE515A">
        <w:rPr>
          <w:color w:val="000000"/>
          <w:sz w:val="28"/>
          <w:szCs w:val="28"/>
        </w:rPr>
        <w:t>периода представлено в таблице 2</w:t>
      </w:r>
      <w:r>
        <w:rPr>
          <w:color w:val="000000"/>
          <w:sz w:val="28"/>
          <w:szCs w:val="28"/>
        </w:rPr>
        <w:t>.</w:t>
      </w:r>
    </w:p>
    <w:p w:rsidR="00DE515A" w:rsidRPr="00007A97" w:rsidRDefault="00DE515A" w:rsidP="00007A97">
      <w:p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Таблица 2-Исходные данные к выполнению контрольной работы </w:t>
      </w:r>
      <w:r w:rsidR="00A8055D">
        <w:rPr>
          <w:color w:val="000000"/>
          <w:sz w:val="28"/>
          <w:szCs w:val="28"/>
        </w:rPr>
        <w:t xml:space="preserve"> </w:t>
      </w:r>
    </w:p>
    <w:tbl>
      <w:tblPr>
        <w:tblStyle w:val="ac"/>
        <w:tblW w:w="0" w:type="auto"/>
        <w:tblLook w:val="04A0"/>
      </w:tblPr>
      <w:tblGrid>
        <w:gridCol w:w="1752"/>
        <w:gridCol w:w="781"/>
        <w:gridCol w:w="782"/>
        <w:gridCol w:w="782"/>
        <w:gridCol w:w="782"/>
        <w:gridCol w:w="782"/>
        <w:gridCol w:w="782"/>
        <w:gridCol w:w="782"/>
        <w:gridCol w:w="782"/>
        <w:gridCol w:w="782"/>
        <w:gridCol w:w="782"/>
      </w:tblGrid>
      <w:tr w:rsidR="00DE515A" w:rsidTr="005D0431">
        <w:tc>
          <w:tcPr>
            <w:tcW w:w="1752" w:type="dxa"/>
            <w:vMerge w:val="restart"/>
          </w:tcPr>
          <w:p w:rsidR="00DE515A" w:rsidRPr="005D0431" w:rsidRDefault="00DE515A" w:rsidP="00A8055D">
            <w:pPr>
              <w:pStyle w:val="a4"/>
              <w:rPr>
                <w:i w:val="0"/>
                <w:sz w:val="20"/>
                <w:szCs w:val="20"/>
              </w:rPr>
            </w:pPr>
            <w:r w:rsidRPr="005D0431">
              <w:rPr>
                <w:i w:val="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7819" w:type="dxa"/>
            <w:gridSpan w:val="10"/>
          </w:tcPr>
          <w:p w:rsidR="00DE515A" w:rsidRPr="005D0431" w:rsidRDefault="00DE515A" w:rsidP="00DE515A">
            <w:pPr>
              <w:pStyle w:val="a4"/>
              <w:jc w:val="center"/>
              <w:rPr>
                <w:i w:val="0"/>
                <w:sz w:val="20"/>
                <w:szCs w:val="20"/>
              </w:rPr>
            </w:pPr>
            <w:r w:rsidRPr="005D0431">
              <w:rPr>
                <w:i w:val="0"/>
                <w:sz w:val="20"/>
                <w:szCs w:val="20"/>
              </w:rPr>
              <w:t>Варианты выполнения расчетов</w:t>
            </w:r>
          </w:p>
        </w:tc>
      </w:tr>
      <w:tr w:rsidR="005D0431" w:rsidTr="005D0431">
        <w:tc>
          <w:tcPr>
            <w:tcW w:w="1752" w:type="dxa"/>
            <w:vMerge/>
          </w:tcPr>
          <w:p w:rsidR="00DE515A" w:rsidRPr="005D0431" w:rsidRDefault="00DE515A" w:rsidP="00A8055D">
            <w:pPr>
              <w:pStyle w:val="a4"/>
              <w:rPr>
                <w:i w:val="0"/>
                <w:sz w:val="20"/>
                <w:szCs w:val="20"/>
              </w:rPr>
            </w:pPr>
          </w:p>
        </w:tc>
        <w:tc>
          <w:tcPr>
            <w:tcW w:w="781" w:type="dxa"/>
          </w:tcPr>
          <w:p w:rsidR="00DE515A" w:rsidRPr="005D0431" w:rsidRDefault="00DE515A" w:rsidP="00A8055D">
            <w:pPr>
              <w:pStyle w:val="a4"/>
              <w:rPr>
                <w:i w:val="0"/>
                <w:sz w:val="20"/>
                <w:szCs w:val="20"/>
              </w:rPr>
            </w:pPr>
            <w:r w:rsidRPr="005D0431">
              <w:rPr>
                <w:i w:val="0"/>
                <w:sz w:val="20"/>
                <w:szCs w:val="20"/>
              </w:rPr>
              <w:t>0</w:t>
            </w:r>
          </w:p>
        </w:tc>
        <w:tc>
          <w:tcPr>
            <w:tcW w:w="782" w:type="dxa"/>
          </w:tcPr>
          <w:p w:rsidR="00DE515A" w:rsidRPr="005D0431" w:rsidRDefault="00DE515A" w:rsidP="00A8055D">
            <w:pPr>
              <w:pStyle w:val="a4"/>
              <w:rPr>
                <w:i w:val="0"/>
                <w:sz w:val="20"/>
                <w:szCs w:val="20"/>
              </w:rPr>
            </w:pPr>
            <w:r w:rsidRPr="005D0431">
              <w:rPr>
                <w:i w:val="0"/>
                <w:sz w:val="20"/>
                <w:szCs w:val="20"/>
              </w:rPr>
              <w:t>1</w:t>
            </w:r>
          </w:p>
        </w:tc>
        <w:tc>
          <w:tcPr>
            <w:tcW w:w="782" w:type="dxa"/>
          </w:tcPr>
          <w:p w:rsidR="00DE515A" w:rsidRPr="005D0431" w:rsidRDefault="00DE515A" w:rsidP="00A8055D">
            <w:pPr>
              <w:pStyle w:val="a4"/>
              <w:rPr>
                <w:i w:val="0"/>
                <w:sz w:val="20"/>
                <w:szCs w:val="20"/>
              </w:rPr>
            </w:pPr>
            <w:r w:rsidRPr="005D0431">
              <w:rPr>
                <w:i w:val="0"/>
                <w:sz w:val="20"/>
                <w:szCs w:val="20"/>
              </w:rPr>
              <w:t>2</w:t>
            </w:r>
          </w:p>
        </w:tc>
        <w:tc>
          <w:tcPr>
            <w:tcW w:w="782" w:type="dxa"/>
          </w:tcPr>
          <w:p w:rsidR="00DE515A" w:rsidRPr="005D0431" w:rsidRDefault="00DE515A" w:rsidP="00A8055D">
            <w:pPr>
              <w:pStyle w:val="a4"/>
              <w:rPr>
                <w:i w:val="0"/>
                <w:sz w:val="20"/>
                <w:szCs w:val="20"/>
              </w:rPr>
            </w:pPr>
            <w:r w:rsidRPr="005D0431">
              <w:rPr>
                <w:i w:val="0"/>
                <w:sz w:val="20"/>
                <w:szCs w:val="20"/>
              </w:rPr>
              <w:t>3</w:t>
            </w:r>
          </w:p>
        </w:tc>
        <w:tc>
          <w:tcPr>
            <w:tcW w:w="782" w:type="dxa"/>
          </w:tcPr>
          <w:p w:rsidR="00DE515A" w:rsidRPr="005D0431" w:rsidRDefault="00DE515A" w:rsidP="00A8055D">
            <w:pPr>
              <w:pStyle w:val="a4"/>
              <w:rPr>
                <w:i w:val="0"/>
                <w:sz w:val="20"/>
                <w:szCs w:val="20"/>
              </w:rPr>
            </w:pPr>
            <w:r w:rsidRPr="005D0431">
              <w:rPr>
                <w:i w:val="0"/>
                <w:sz w:val="20"/>
                <w:szCs w:val="20"/>
              </w:rPr>
              <w:t>4</w:t>
            </w:r>
          </w:p>
        </w:tc>
        <w:tc>
          <w:tcPr>
            <w:tcW w:w="782" w:type="dxa"/>
          </w:tcPr>
          <w:p w:rsidR="00DE515A" w:rsidRPr="005D0431" w:rsidRDefault="00DE515A" w:rsidP="00A8055D">
            <w:pPr>
              <w:pStyle w:val="a4"/>
              <w:rPr>
                <w:i w:val="0"/>
                <w:sz w:val="20"/>
                <w:szCs w:val="20"/>
              </w:rPr>
            </w:pPr>
            <w:r w:rsidRPr="005D0431">
              <w:rPr>
                <w:i w:val="0"/>
                <w:sz w:val="20"/>
                <w:szCs w:val="20"/>
              </w:rPr>
              <w:t>5</w:t>
            </w:r>
          </w:p>
        </w:tc>
        <w:tc>
          <w:tcPr>
            <w:tcW w:w="782" w:type="dxa"/>
          </w:tcPr>
          <w:p w:rsidR="00DE515A" w:rsidRPr="005D0431" w:rsidRDefault="00DE515A" w:rsidP="00A8055D">
            <w:pPr>
              <w:pStyle w:val="a4"/>
              <w:rPr>
                <w:i w:val="0"/>
                <w:sz w:val="20"/>
                <w:szCs w:val="20"/>
              </w:rPr>
            </w:pPr>
            <w:r w:rsidRPr="005D0431">
              <w:rPr>
                <w:i w:val="0"/>
                <w:sz w:val="20"/>
                <w:szCs w:val="20"/>
              </w:rPr>
              <w:t>6</w:t>
            </w:r>
          </w:p>
        </w:tc>
        <w:tc>
          <w:tcPr>
            <w:tcW w:w="782" w:type="dxa"/>
          </w:tcPr>
          <w:p w:rsidR="00DE515A" w:rsidRPr="005D0431" w:rsidRDefault="00DE515A" w:rsidP="00A8055D">
            <w:pPr>
              <w:pStyle w:val="a4"/>
              <w:rPr>
                <w:i w:val="0"/>
                <w:sz w:val="20"/>
                <w:szCs w:val="20"/>
              </w:rPr>
            </w:pPr>
            <w:r w:rsidRPr="005D0431">
              <w:rPr>
                <w:i w:val="0"/>
                <w:sz w:val="20"/>
                <w:szCs w:val="20"/>
              </w:rPr>
              <w:t>7</w:t>
            </w:r>
          </w:p>
        </w:tc>
        <w:tc>
          <w:tcPr>
            <w:tcW w:w="782" w:type="dxa"/>
          </w:tcPr>
          <w:p w:rsidR="00DE515A" w:rsidRPr="005D0431" w:rsidRDefault="00DE515A" w:rsidP="00A8055D">
            <w:pPr>
              <w:pStyle w:val="a4"/>
              <w:rPr>
                <w:i w:val="0"/>
                <w:sz w:val="20"/>
                <w:szCs w:val="20"/>
              </w:rPr>
            </w:pPr>
            <w:r w:rsidRPr="005D0431">
              <w:rPr>
                <w:i w:val="0"/>
                <w:sz w:val="20"/>
                <w:szCs w:val="20"/>
              </w:rPr>
              <w:t>8</w:t>
            </w:r>
          </w:p>
        </w:tc>
        <w:tc>
          <w:tcPr>
            <w:tcW w:w="782" w:type="dxa"/>
          </w:tcPr>
          <w:p w:rsidR="00DE515A" w:rsidRPr="005D0431" w:rsidRDefault="00DE515A" w:rsidP="00A8055D">
            <w:pPr>
              <w:pStyle w:val="a4"/>
              <w:rPr>
                <w:i w:val="0"/>
                <w:sz w:val="20"/>
                <w:szCs w:val="20"/>
              </w:rPr>
            </w:pPr>
            <w:r w:rsidRPr="005D0431">
              <w:rPr>
                <w:i w:val="0"/>
                <w:sz w:val="20"/>
                <w:szCs w:val="20"/>
              </w:rPr>
              <w:t>9</w:t>
            </w:r>
          </w:p>
        </w:tc>
      </w:tr>
      <w:tr w:rsidR="005D0431" w:rsidTr="005D0431">
        <w:tc>
          <w:tcPr>
            <w:tcW w:w="1752" w:type="dxa"/>
          </w:tcPr>
          <w:p w:rsidR="00DE515A" w:rsidRPr="005D0431" w:rsidRDefault="00DE515A" w:rsidP="00A8055D">
            <w:pPr>
              <w:pStyle w:val="a4"/>
              <w:rPr>
                <w:i w:val="0"/>
                <w:sz w:val="20"/>
                <w:szCs w:val="20"/>
              </w:rPr>
            </w:pPr>
            <w:r w:rsidRPr="005D0431">
              <w:rPr>
                <w:i w:val="0"/>
                <w:sz w:val="20"/>
                <w:szCs w:val="20"/>
              </w:rPr>
              <w:t>Ставка дисконтирования, %</w:t>
            </w:r>
          </w:p>
        </w:tc>
        <w:tc>
          <w:tcPr>
            <w:tcW w:w="781" w:type="dxa"/>
          </w:tcPr>
          <w:p w:rsidR="00DE515A" w:rsidRPr="005D0431" w:rsidRDefault="00DE515A" w:rsidP="00DE515A">
            <w:pPr>
              <w:pStyle w:val="a4"/>
              <w:jc w:val="center"/>
              <w:rPr>
                <w:i w:val="0"/>
                <w:sz w:val="20"/>
                <w:szCs w:val="20"/>
              </w:rPr>
            </w:pPr>
            <w:r w:rsidRPr="005D0431">
              <w:rPr>
                <w:i w:val="0"/>
                <w:sz w:val="20"/>
                <w:szCs w:val="20"/>
              </w:rPr>
              <w:t>15</w:t>
            </w:r>
          </w:p>
        </w:tc>
        <w:tc>
          <w:tcPr>
            <w:tcW w:w="782" w:type="dxa"/>
          </w:tcPr>
          <w:p w:rsidR="00DE515A" w:rsidRPr="005D0431" w:rsidRDefault="00DE515A" w:rsidP="00DE515A">
            <w:pPr>
              <w:pStyle w:val="a4"/>
              <w:jc w:val="center"/>
              <w:rPr>
                <w:i w:val="0"/>
                <w:sz w:val="20"/>
                <w:szCs w:val="20"/>
              </w:rPr>
            </w:pPr>
            <w:r w:rsidRPr="005D0431">
              <w:rPr>
                <w:i w:val="0"/>
                <w:sz w:val="20"/>
                <w:szCs w:val="20"/>
              </w:rPr>
              <w:t>20</w:t>
            </w:r>
          </w:p>
        </w:tc>
        <w:tc>
          <w:tcPr>
            <w:tcW w:w="782" w:type="dxa"/>
          </w:tcPr>
          <w:p w:rsidR="00DE515A" w:rsidRPr="005D0431" w:rsidRDefault="00DE515A" w:rsidP="00DE515A">
            <w:pPr>
              <w:pStyle w:val="a4"/>
              <w:jc w:val="center"/>
              <w:rPr>
                <w:i w:val="0"/>
                <w:sz w:val="20"/>
                <w:szCs w:val="20"/>
              </w:rPr>
            </w:pPr>
            <w:r w:rsidRPr="005D0431">
              <w:rPr>
                <w:i w:val="0"/>
                <w:sz w:val="20"/>
                <w:szCs w:val="20"/>
              </w:rPr>
              <w:t>25</w:t>
            </w:r>
          </w:p>
        </w:tc>
        <w:tc>
          <w:tcPr>
            <w:tcW w:w="782" w:type="dxa"/>
          </w:tcPr>
          <w:p w:rsidR="00DE515A" w:rsidRPr="005D0431" w:rsidRDefault="00DE515A" w:rsidP="00DE515A">
            <w:pPr>
              <w:pStyle w:val="a4"/>
              <w:jc w:val="center"/>
              <w:rPr>
                <w:i w:val="0"/>
                <w:sz w:val="20"/>
                <w:szCs w:val="20"/>
              </w:rPr>
            </w:pPr>
            <w:r w:rsidRPr="005D0431">
              <w:rPr>
                <w:i w:val="0"/>
                <w:sz w:val="20"/>
                <w:szCs w:val="20"/>
              </w:rPr>
              <w:t>10</w:t>
            </w:r>
          </w:p>
        </w:tc>
        <w:tc>
          <w:tcPr>
            <w:tcW w:w="782" w:type="dxa"/>
          </w:tcPr>
          <w:p w:rsidR="00DE515A" w:rsidRPr="005D0431" w:rsidRDefault="00DE515A" w:rsidP="00DE515A">
            <w:pPr>
              <w:pStyle w:val="a4"/>
              <w:jc w:val="center"/>
              <w:rPr>
                <w:i w:val="0"/>
                <w:sz w:val="20"/>
                <w:szCs w:val="20"/>
              </w:rPr>
            </w:pPr>
            <w:r w:rsidRPr="005D0431">
              <w:rPr>
                <w:i w:val="0"/>
                <w:sz w:val="20"/>
                <w:szCs w:val="20"/>
              </w:rPr>
              <w:t>12</w:t>
            </w:r>
          </w:p>
        </w:tc>
        <w:tc>
          <w:tcPr>
            <w:tcW w:w="782" w:type="dxa"/>
          </w:tcPr>
          <w:p w:rsidR="00DE515A" w:rsidRPr="005D0431" w:rsidRDefault="00DE515A" w:rsidP="00DE515A">
            <w:pPr>
              <w:pStyle w:val="a4"/>
              <w:jc w:val="center"/>
              <w:rPr>
                <w:i w:val="0"/>
                <w:sz w:val="20"/>
                <w:szCs w:val="20"/>
              </w:rPr>
            </w:pPr>
            <w:r w:rsidRPr="005D0431">
              <w:rPr>
                <w:i w:val="0"/>
                <w:sz w:val="20"/>
                <w:szCs w:val="20"/>
              </w:rPr>
              <w:t>13</w:t>
            </w:r>
          </w:p>
        </w:tc>
        <w:tc>
          <w:tcPr>
            <w:tcW w:w="782" w:type="dxa"/>
          </w:tcPr>
          <w:p w:rsidR="00DE515A" w:rsidRPr="005D0431" w:rsidRDefault="00DE515A" w:rsidP="00DE515A">
            <w:pPr>
              <w:pStyle w:val="a4"/>
              <w:jc w:val="center"/>
              <w:rPr>
                <w:i w:val="0"/>
                <w:sz w:val="20"/>
                <w:szCs w:val="20"/>
              </w:rPr>
            </w:pPr>
            <w:r w:rsidRPr="005D0431">
              <w:rPr>
                <w:i w:val="0"/>
                <w:sz w:val="20"/>
                <w:szCs w:val="20"/>
              </w:rPr>
              <w:t>14</w:t>
            </w:r>
          </w:p>
        </w:tc>
        <w:tc>
          <w:tcPr>
            <w:tcW w:w="782" w:type="dxa"/>
          </w:tcPr>
          <w:p w:rsidR="00DE515A" w:rsidRPr="005D0431" w:rsidRDefault="00DE515A" w:rsidP="00DE515A">
            <w:pPr>
              <w:pStyle w:val="a4"/>
              <w:jc w:val="center"/>
              <w:rPr>
                <w:i w:val="0"/>
                <w:sz w:val="20"/>
                <w:szCs w:val="20"/>
              </w:rPr>
            </w:pPr>
            <w:r w:rsidRPr="005D0431">
              <w:rPr>
                <w:i w:val="0"/>
                <w:sz w:val="20"/>
                <w:szCs w:val="20"/>
              </w:rPr>
              <w:t>15</w:t>
            </w:r>
          </w:p>
        </w:tc>
        <w:tc>
          <w:tcPr>
            <w:tcW w:w="782" w:type="dxa"/>
          </w:tcPr>
          <w:p w:rsidR="00DE515A" w:rsidRPr="005D0431" w:rsidRDefault="00DE515A" w:rsidP="00DE515A">
            <w:pPr>
              <w:pStyle w:val="a4"/>
              <w:jc w:val="center"/>
              <w:rPr>
                <w:i w:val="0"/>
                <w:sz w:val="20"/>
                <w:szCs w:val="20"/>
              </w:rPr>
            </w:pPr>
            <w:r w:rsidRPr="005D0431">
              <w:rPr>
                <w:i w:val="0"/>
                <w:sz w:val="20"/>
                <w:szCs w:val="20"/>
              </w:rPr>
              <w:t>17</w:t>
            </w:r>
          </w:p>
        </w:tc>
        <w:tc>
          <w:tcPr>
            <w:tcW w:w="782" w:type="dxa"/>
          </w:tcPr>
          <w:p w:rsidR="00DE515A" w:rsidRPr="005D0431" w:rsidRDefault="00DE515A" w:rsidP="00DE515A">
            <w:pPr>
              <w:pStyle w:val="a4"/>
              <w:jc w:val="center"/>
              <w:rPr>
                <w:i w:val="0"/>
                <w:sz w:val="20"/>
                <w:szCs w:val="20"/>
              </w:rPr>
            </w:pPr>
            <w:r w:rsidRPr="005D0431">
              <w:rPr>
                <w:i w:val="0"/>
                <w:sz w:val="20"/>
                <w:szCs w:val="20"/>
              </w:rPr>
              <w:t>18</w:t>
            </w:r>
          </w:p>
        </w:tc>
      </w:tr>
      <w:tr w:rsidR="005D0431" w:rsidTr="005D0431">
        <w:tc>
          <w:tcPr>
            <w:tcW w:w="1752" w:type="dxa"/>
          </w:tcPr>
          <w:p w:rsidR="00DE515A" w:rsidRPr="005D0431" w:rsidRDefault="00DE515A" w:rsidP="005D0431">
            <w:pPr>
              <w:rPr>
                <w:color w:val="000000"/>
                <w:sz w:val="20"/>
                <w:szCs w:val="20"/>
              </w:rPr>
            </w:pPr>
            <w:r w:rsidRPr="005D0431">
              <w:rPr>
                <w:color w:val="000000"/>
                <w:sz w:val="20"/>
                <w:szCs w:val="20"/>
              </w:rPr>
              <w:t>Чистый поток денежных средств (</w:t>
            </w:r>
            <w:r w:rsidRPr="005D0431">
              <w:rPr>
                <w:color w:val="000000"/>
                <w:sz w:val="20"/>
                <w:szCs w:val="20"/>
                <w:lang w:val="en-US"/>
              </w:rPr>
              <w:t>NCF</w:t>
            </w:r>
            <w:r w:rsidRPr="005D0431">
              <w:rPr>
                <w:color w:val="000000"/>
                <w:sz w:val="20"/>
                <w:szCs w:val="20"/>
              </w:rPr>
              <w:t>),</w:t>
            </w:r>
          </w:p>
          <w:p w:rsidR="00DE515A" w:rsidRPr="005D0431" w:rsidRDefault="00DE515A" w:rsidP="005D0431">
            <w:pPr>
              <w:pStyle w:val="a4"/>
              <w:jc w:val="left"/>
              <w:rPr>
                <w:i w:val="0"/>
                <w:sz w:val="20"/>
                <w:szCs w:val="20"/>
              </w:rPr>
            </w:pPr>
            <w:r w:rsidRPr="005D0431">
              <w:rPr>
                <w:i w:val="0"/>
                <w:color w:val="000000"/>
                <w:sz w:val="20"/>
                <w:szCs w:val="20"/>
              </w:rPr>
              <w:t>тыс. руб. по годам проектного периода</w:t>
            </w:r>
            <w:r w:rsidR="005D0431">
              <w:rPr>
                <w:i w:val="0"/>
                <w:color w:val="000000"/>
                <w:sz w:val="20"/>
                <w:szCs w:val="20"/>
              </w:rPr>
              <w:t>:</w:t>
            </w:r>
            <w:r w:rsidRPr="005D0431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81" w:type="dxa"/>
          </w:tcPr>
          <w:p w:rsidR="00DE515A" w:rsidRDefault="00DE515A" w:rsidP="00A8055D">
            <w:pPr>
              <w:pStyle w:val="a4"/>
              <w:rPr>
                <w:i w:val="0"/>
              </w:rPr>
            </w:pPr>
          </w:p>
        </w:tc>
        <w:tc>
          <w:tcPr>
            <w:tcW w:w="782" w:type="dxa"/>
          </w:tcPr>
          <w:p w:rsidR="00DE515A" w:rsidRDefault="00DE515A" w:rsidP="00A8055D">
            <w:pPr>
              <w:pStyle w:val="a4"/>
              <w:rPr>
                <w:i w:val="0"/>
              </w:rPr>
            </w:pPr>
          </w:p>
        </w:tc>
        <w:tc>
          <w:tcPr>
            <w:tcW w:w="782" w:type="dxa"/>
          </w:tcPr>
          <w:p w:rsidR="00DE515A" w:rsidRDefault="00DE515A" w:rsidP="00A8055D">
            <w:pPr>
              <w:pStyle w:val="a4"/>
              <w:rPr>
                <w:i w:val="0"/>
              </w:rPr>
            </w:pPr>
          </w:p>
        </w:tc>
        <w:tc>
          <w:tcPr>
            <w:tcW w:w="782" w:type="dxa"/>
          </w:tcPr>
          <w:p w:rsidR="00DE515A" w:rsidRDefault="00DE515A" w:rsidP="00A8055D">
            <w:pPr>
              <w:pStyle w:val="a4"/>
              <w:rPr>
                <w:i w:val="0"/>
              </w:rPr>
            </w:pPr>
          </w:p>
        </w:tc>
        <w:tc>
          <w:tcPr>
            <w:tcW w:w="782" w:type="dxa"/>
          </w:tcPr>
          <w:p w:rsidR="00DE515A" w:rsidRDefault="00DE515A" w:rsidP="00A8055D">
            <w:pPr>
              <w:pStyle w:val="a4"/>
              <w:rPr>
                <w:i w:val="0"/>
              </w:rPr>
            </w:pPr>
          </w:p>
        </w:tc>
        <w:tc>
          <w:tcPr>
            <w:tcW w:w="782" w:type="dxa"/>
          </w:tcPr>
          <w:p w:rsidR="00DE515A" w:rsidRDefault="00DE515A" w:rsidP="00A8055D">
            <w:pPr>
              <w:pStyle w:val="a4"/>
              <w:rPr>
                <w:i w:val="0"/>
              </w:rPr>
            </w:pPr>
          </w:p>
        </w:tc>
        <w:tc>
          <w:tcPr>
            <w:tcW w:w="782" w:type="dxa"/>
          </w:tcPr>
          <w:p w:rsidR="00DE515A" w:rsidRDefault="00DE515A" w:rsidP="00A8055D">
            <w:pPr>
              <w:pStyle w:val="a4"/>
              <w:rPr>
                <w:i w:val="0"/>
              </w:rPr>
            </w:pPr>
          </w:p>
        </w:tc>
        <w:tc>
          <w:tcPr>
            <w:tcW w:w="782" w:type="dxa"/>
          </w:tcPr>
          <w:p w:rsidR="00DE515A" w:rsidRDefault="00DE515A" w:rsidP="00A8055D">
            <w:pPr>
              <w:pStyle w:val="a4"/>
              <w:rPr>
                <w:i w:val="0"/>
              </w:rPr>
            </w:pPr>
          </w:p>
        </w:tc>
        <w:tc>
          <w:tcPr>
            <w:tcW w:w="782" w:type="dxa"/>
          </w:tcPr>
          <w:p w:rsidR="00DE515A" w:rsidRDefault="00DE515A" w:rsidP="00A8055D">
            <w:pPr>
              <w:pStyle w:val="a4"/>
              <w:rPr>
                <w:i w:val="0"/>
              </w:rPr>
            </w:pPr>
          </w:p>
        </w:tc>
        <w:tc>
          <w:tcPr>
            <w:tcW w:w="782" w:type="dxa"/>
          </w:tcPr>
          <w:p w:rsidR="00DE515A" w:rsidRDefault="00DE515A" w:rsidP="00A8055D">
            <w:pPr>
              <w:pStyle w:val="a4"/>
              <w:rPr>
                <w:i w:val="0"/>
              </w:rPr>
            </w:pPr>
          </w:p>
        </w:tc>
      </w:tr>
      <w:tr w:rsidR="005D0431" w:rsidTr="005D0431">
        <w:tc>
          <w:tcPr>
            <w:tcW w:w="1752" w:type="dxa"/>
          </w:tcPr>
          <w:p w:rsidR="00DE515A" w:rsidRPr="005D0431" w:rsidRDefault="005D0431" w:rsidP="005D0431">
            <w:pPr>
              <w:pStyle w:val="a4"/>
              <w:jc w:val="left"/>
              <w:rPr>
                <w:i w:val="0"/>
                <w:sz w:val="20"/>
                <w:szCs w:val="20"/>
              </w:rPr>
            </w:pPr>
            <w:r w:rsidRPr="005D0431">
              <w:rPr>
                <w:i w:val="0"/>
                <w:sz w:val="20"/>
                <w:szCs w:val="20"/>
              </w:rPr>
              <w:t>1 год</w:t>
            </w:r>
          </w:p>
        </w:tc>
        <w:tc>
          <w:tcPr>
            <w:tcW w:w="781" w:type="dxa"/>
          </w:tcPr>
          <w:p w:rsidR="00DE515A" w:rsidRPr="005D0431" w:rsidRDefault="005D0431" w:rsidP="00A8055D">
            <w:pPr>
              <w:pStyle w:val="a4"/>
              <w:rPr>
                <w:i w:val="0"/>
                <w:sz w:val="20"/>
                <w:szCs w:val="20"/>
              </w:rPr>
            </w:pPr>
            <w:r w:rsidRPr="005D0431">
              <w:rPr>
                <w:i w:val="0"/>
                <w:sz w:val="20"/>
                <w:szCs w:val="20"/>
              </w:rPr>
              <w:t>400</w:t>
            </w:r>
          </w:p>
        </w:tc>
        <w:tc>
          <w:tcPr>
            <w:tcW w:w="782" w:type="dxa"/>
          </w:tcPr>
          <w:p w:rsidR="00DE515A" w:rsidRPr="005D0431" w:rsidRDefault="005D0431" w:rsidP="00A8055D">
            <w:pPr>
              <w:pStyle w:val="a4"/>
              <w:rPr>
                <w:i w:val="0"/>
                <w:sz w:val="20"/>
                <w:szCs w:val="20"/>
              </w:rPr>
            </w:pPr>
            <w:r>
              <w:rPr>
                <w:i w:val="0"/>
                <w:sz w:val="20"/>
                <w:szCs w:val="20"/>
              </w:rPr>
              <w:t>420</w:t>
            </w:r>
          </w:p>
        </w:tc>
        <w:tc>
          <w:tcPr>
            <w:tcW w:w="782" w:type="dxa"/>
          </w:tcPr>
          <w:p w:rsidR="00DE515A" w:rsidRPr="005D0431" w:rsidRDefault="005D0431" w:rsidP="00A8055D">
            <w:pPr>
              <w:pStyle w:val="a4"/>
              <w:rPr>
                <w:i w:val="0"/>
                <w:sz w:val="20"/>
                <w:szCs w:val="20"/>
              </w:rPr>
            </w:pPr>
            <w:r>
              <w:rPr>
                <w:i w:val="0"/>
                <w:sz w:val="20"/>
                <w:szCs w:val="20"/>
              </w:rPr>
              <w:t>430</w:t>
            </w:r>
          </w:p>
        </w:tc>
        <w:tc>
          <w:tcPr>
            <w:tcW w:w="782" w:type="dxa"/>
          </w:tcPr>
          <w:p w:rsidR="00DE515A" w:rsidRPr="005D0431" w:rsidRDefault="005D0431" w:rsidP="00A8055D">
            <w:pPr>
              <w:pStyle w:val="a4"/>
              <w:rPr>
                <w:i w:val="0"/>
                <w:sz w:val="20"/>
                <w:szCs w:val="20"/>
              </w:rPr>
            </w:pPr>
            <w:r>
              <w:rPr>
                <w:i w:val="0"/>
                <w:sz w:val="20"/>
                <w:szCs w:val="20"/>
              </w:rPr>
              <w:t>450</w:t>
            </w:r>
          </w:p>
        </w:tc>
        <w:tc>
          <w:tcPr>
            <w:tcW w:w="782" w:type="dxa"/>
          </w:tcPr>
          <w:p w:rsidR="00DE515A" w:rsidRPr="005D0431" w:rsidRDefault="005D0431" w:rsidP="00A8055D">
            <w:pPr>
              <w:pStyle w:val="a4"/>
              <w:rPr>
                <w:i w:val="0"/>
                <w:sz w:val="20"/>
                <w:szCs w:val="20"/>
              </w:rPr>
            </w:pPr>
            <w:r>
              <w:rPr>
                <w:i w:val="0"/>
                <w:sz w:val="20"/>
                <w:szCs w:val="20"/>
              </w:rPr>
              <w:t>460</w:t>
            </w:r>
          </w:p>
        </w:tc>
        <w:tc>
          <w:tcPr>
            <w:tcW w:w="782" w:type="dxa"/>
          </w:tcPr>
          <w:p w:rsidR="00DE515A" w:rsidRPr="005D0431" w:rsidRDefault="005D0431" w:rsidP="00A8055D">
            <w:pPr>
              <w:pStyle w:val="a4"/>
              <w:rPr>
                <w:i w:val="0"/>
                <w:sz w:val="20"/>
                <w:szCs w:val="20"/>
              </w:rPr>
            </w:pPr>
            <w:r>
              <w:rPr>
                <w:i w:val="0"/>
                <w:sz w:val="20"/>
                <w:szCs w:val="20"/>
              </w:rPr>
              <w:t>470</w:t>
            </w:r>
          </w:p>
        </w:tc>
        <w:tc>
          <w:tcPr>
            <w:tcW w:w="782" w:type="dxa"/>
          </w:tcPr>
          <w:p w:rsidR="00DE515A" w:rsidRPr="005D0431" w:rsidRDefault="005D0431" w:rsidP="00A8055D">
            <w:pPr>
              <w:pStyle w:val="a4"/>
              <w:rPr>
                <w:i w:val="0"/>
                <w:sz w:val="20"/>
                <w:szCs w:val="20"/>
              </w:rPr>
            </w:pPr>
            <w:r>
              <w:rPr>
                <w:i w:val="0"/>
                <w:sz w:val="20"/>
                <w:szCs w:val="20"/>
              </w:rPr>
              <w:t>480</w:t>
            </w:r>
          </w:p>
        </w:tc>
        <w:tc>
          <w:tcPr>
            <w:tcW w:w="782" w:type="dxa"/>
          </w:tcPr>
          <w:p w:rsidR="00DE515A" w:rsidRPr="005D0431" w:rsidRDefault="005D0431" w:rsidP="00A8055D">
            <w:pPr>
              <w:pStyle w:val="a4"/>
              <w:rPr>
                <w:i w:val="0"/>
                <w:sz w:val="20"/>
                <w:szCs w:val="20"/>
              </w:rPr>
            </w:pPr>
            <w:r>
              <w:rPr>
                <w:i w:val="0"/>
                <w:sz w:val="20"/>
                <w:szCs w:val="20"/>
              </w:rPr>
              <w:t>490</w:t>
            </w:r>
          </w:p>
        </w:tc>
        <w:tc>
          <w:tcPr>
            <w:tcW w:w="782" w:type="dxa"/>
          </w:tcPr>
          <w:p w:rsidR="00DE515A" w:rsidRPr="005D0431" w:rsidRDefault="005D0431" w:rsidP="00A8055D">
            <w:pPr>
              <w:pStyle w:val="a4"/>
              <w:rPr>
                <w:i w:val="0"/>
                <w:sz w:val="20"/>
                <w:szCs w:val="20"/>
              </w:rPr>
            </w:pPr>
            <w:r>
              <w:rPr>
                <w:i w:val="0"/>
                <w:sz w:val="20"/>
                <w:szCs w:val="20"/>
              </w:rPr>
              <w:t>500</w:t>
            </w:r>
          </w:p>
        </w:tc>
        <w:tc>
          <w:tcPr>
            <w:tcW w:w="782" w:type="dxa"/>
          </w:tcPr>
          <w:p w:rsidR="00DE515A" w:rsidRPr="005D0431" w:rsidRDefault="005D0431" w:rsidP="00A8055D">
            <w:pPr>
              <w:pStyle w:val="a4"/>
              <w:rPr>
                <w:i w:val="0"/>
                <w:sz w:val="20"/>
                <w:szCs w:val="20"/>
              </w:rPr>
            </w:pPr>
            <w:r>
              <w:rPr>
                <w:i w:val="0"/>
                <w:sz w:val="20"/>
                <w:szCs w:val="20"/>
              </w:rPr>
              <w:t>550</w:t>
            </w:r>
          </w:p>
        </w:tc>
      </w:tr>
      <w:tr w:rsidR="005D0431" w:rsidTr="005D0431">
        <w:tc>
          <w:tcPr>
            <w:tcW w:w="1752" w:type="dxa"/>
          </w:tcPr>
          <w:p w:rsidR="00DE515A" w:rsidRPr="005D0431" w:rsidRDefault="005D0431" w:rsidP="00A8055D">
            <w:pPr>
              <w:pStyle w:val="a4"/>
              <w:rPr>
                <w:i w:val="0"/>
                <w:sz w:val="20"/>
                <w:szCs w:val="20"/>
              </w:rPr>
            </w:pPr>
            <w:r w:rsidRPr="005D0431">
              <w:rPr>
                <w:i w:val="0"/>
                <w:sz w:val="20"/>
                <w:szCs w:val="20"/>
              </w:rPr>
              <w:t>2 год</w:t>
            </w:r>
          </w:p>
        </w:tc>
        <w:tc>
          <w:tcPr>
            <w:tcW w:w="781" w:type="dxa"/>
          </w:tcPr>
          <w:p w:rsidR="00DE515A" w:rsidRPr="005D0431" w:rsidRDefault="005D0431" w:rsidP="00A8055D">
            <w:pPr>
              <w:pStyle w:val="a4"/>
              <w:rPr>
                <w:i w:val="0"/>
                <w:sz w:val="20"/>
                <w:szCs w:val="20"/>
              </w:rPr>
            </w:pPr>
            <w:r>
              <w:rPr>
                <w:i w:val="0"/>
                <w:sz w:val="20"/>
                <w:szCs w:val="20"/>
              </w:rPr>
              <w:t>1100</w:t>
            </w:r>
          </w:p>
        </w:tc>
        <w:tc>
          <w:tcPr>
            <w:tcW w:w="782" w:type="dxa"/>
          </w:tcPr>
          <w:p w:rsidR="00DE515A" w:rsidRPr="005D0431" w:rsidRDefault="005D0431" w:rsidP="00A8055D">
            <w:pPr>
              <w:pStyle w:val="a4"/>
              <w:rPr>
                <w:i w:val="0"/>
                <w:sz w:val="20"/>
                <w:szCs w:val="20"/>
              </w:rPr>
            </w:pPr>
            <w:r>
              <w:rPr>
                <w:i w:val="0"/>
                <w:sz w:val="20"/>
                <w:szCs w:val="20"/>
              </w:rPr>
              <w:t>1200</w:t>
            </w:r>
          </w:p>
        </w:tc>
        <w:tc>
          <w:tcPr>
            <w:tcW w:w="782" w:type="dxa"/>
          </w:tcPr>
          <w:p w:rsidR="00DE515A" w:rsidRPr="005D0431" w:rsidRDefault="005D0431" w:rsidP="00A8055D">
            <w:pPr>
              <w:pStyle w:val="a4"/>
              <w:rPr>
                <w:i w:val="0"/>
                <w:sz w:val="20"/>
                <w:szCs w:val="20"/>
              </w:rPr>
            </w:pPr>
            <w:r>
              <w:rPr>
                <w:i w:val="0"/>
                <w:sz w:val="20"/>
                <w:szCs w:val="20"/>
              </w:rPr>
              <w:t>1300</w:t>
            </w:r>
          </w:p>
        </w:tc>
        <w:tc>
          <w:tcPr>
            <w:tcW w:w="782" w:type="dxa"/>
          </w:tcPr>
          <w:p w:rsidR="00DE515A" w:rsidRPr="005D0431" w:rsidRDefault="005D0431" w:rsidP="00A8055D">
            <w:pPr>
              <w:pStyle w:val="a4"/>
              <w:rPr>
                <w:i w:val="0"/>
                <w:sz w:val="20"/>
                <w:szCs w:val="20"/>
              </w:rPr>
            </w:pPr>
            <w:r>
              <w:rPr>
                <w:i w:val="0"/>
                <w:sz w:val="20"/>
                <w:szCs w:val="20"/>
              </w:rPr>
              <w:t>1400</w:t>
            </w:r>
          </w:p>
        </w:tc>
        <w:tc>
          <w:tcPr>
            <w:tcW w:w="782" w:type="dxa"/>
          </w:tcPr>
          <w:p w:rsidR="00DE515A" w:rsidRPr="005D0431" w:rsidRDefault="005D0431" w:rsidP="00A8055D">
            <w:pPr>
              <w:pStyle w:val="a4"/>
              <w:rPr>
                <w:i w:val="0"/>
                <w:sz w:val="20"/>
                <w:szCs w:val="20"/>
              </w:rPr>
            </w:pPr>
            <w:r>
              <w:rPr>
                <w:i w:val="0"/>
                <w:sz w:val="20"/>
                <w:szCs w:val="20"/>
              </w:rPr>
              <w:t>1500</w:t>
            </w:r>
          </w:p>
        </w:tc>
        <w:tc>
          <w:tcPr>
            <w:tcW w:w="782" w:type="dxa"/>
          </w:tcPr>
          <w:p w:rsidR="00DE515A" w:rsidRPr="005D0431" w:rsidRDefault="005D0431" w:rsidP="00A8055D">
            <w:pPr>
              <w:pStyle w:val="a4"/>
              <w:rPr>
                <w:i w:val="0"/>
                <w:sz w:val="20"/>
                <w:szCs w:val="20"/>
              </w:rPr>
            </w:pPr>
            <w:r>
              <w:rPr>
                <w:i w:val="0"/>
                <w:sz w:val="20"/>
                <w:szCs w:val="20"/>
              </w:rPr>
              <w:t>1600</w:t>
            </w:r>
          </w:p>
        </w:tc>
        <w:tc>
          <w:tcPr>
            <w:tcW w:w="782" w:type="dxa"/>
          </w:tcPr>
          <w:p w:rsidR="00DE515A" w:rsidRPr="005D0431" w:rsidRDefault="005D0431" w:rsidP="00A8055D">
            <w:pPr>
              <w:pStyle w:val="a4"/>
              <w:rPr>
                <w:i w:val="0"/>
                <w:sz w:val="20"/>
                <w:szCs w:val="20"/>
              </w:rPr>
            </w:pPr>
            <w:r>
              <w:rPr>
                <w:i w:val="0"/>
                <w:sz w:val="20"/>
                <w:szCs w:val="20"/>
              </w:rPr>
              <w:t>1700</w:t>
            </w:r>
          </w:p>
        </w:tc>
        <w:tc>
          <w:tcPr>
            <w:tcW w:w="782" w:type="dxa"/>
          </w:tcPr>
          <w:p w:rsidR="00DE515A" w:rsidRPr="005D0431" w:rsidRDefault="005D0431" w:rsidP="00A8055D">
            <w:pPr>
              <w:pStyle w:val="a4"/>
              <w:rPr>
                <w:i w:val="0"/>
                <w:sz w:val="20"/>
                <w:szCs w:val="20"/>
              </w:rPr>
            </w:pPr>
            <w:r>
              <w:rPr>
                <w:i w:val="0"/>
                <w:sz w:val="20"/>
                <w:szCs w:val="20"/>
              </w:rPr>
              <w:t>1550</w:t>
            </w:r>
          </w:p>
        </w:tc>
        <w:tc>
          <w:tcPr>
            <w:tcW w:w="782" w:type="dxa"/>
          </w:tcPr>
          <w:p w:rsidR="00DE515A" w:rsidRPr="005D0431" w:rsidRDefault="005D0431" w:rsidP="00A8055D">
            <w:pPr>
              <w:pStyle w:val="a4"/>
              <w:rPr>
                <w:i w:val="0"/>
                <w:sz w:val="20"/>
                <w:szCs w:val="20"/>
              </w:rPr>
            </w:pPr>
            <w:r>
              <w:rPr>
                <w:i w:val="0"/>
                <w:sz w:val="20"/>
                <w:szCs w:val="20"/>
              </w:rPr>
              <w:t>1200</w:t>
            </w:r>
          </w:p>
        </w:tc>
        <w:tc>
          <w:tcPr>
            <w:tcW w:w="782" w:type="dxa"/>
          </w:tcPr>
          <w:p w:rsidR="00DE515A" w:rsidRPr="005D0431" w:rsidRDefault="005D0431" w:rsidP="00A8055D">
            <w:pPr>
              <w:pStyle w:val="a4"/>
              <w:rPr>
                <w:i w:val="0"/>
                <w:sz w:val="20"/>
                <w:szCs w:val="20"/>
              </w:rPr>
            </w:pPr>
            <w:r>
              <w:rPr>
                <w:i w:val="0"/>
                <w:sz w:val="20"/>
                <w:szCs w:val="20"/>
              </w:rPr>
              <w:t>1350</w:t>
            </w:r>
          </w:p>
        </w:tc>
      </w:tr>
      <w:tr w:rsidR="005D0431" w:rsidTr="005D0431">
        <w:tc>
          <w:tcPr>
            <w:tcW w:w="1752" w:type="dxa"/>
          </w:tcPr>
          <w:p w:rsidR="00DE515A" w:rsidRPr="005D0431" w:rsidRDefault="005D0431" w:rsidP="00A8055D">
            <w:pPr>
              <w:pStyle w:val="a4"/>
              <w:rPr>
                <w:i w:val="0"/>
                <w:sz w:val="20"/>
                <w:szCs w:val="20"/>
              </w:rPr>
            </w:pPr>
            <w:r w:rsidRPr="005D0431">
              <w:rPr>
                <w:i w:val="0"/>
                <w:sz w:val="20"/>
                <w:szCs w:val="20"/>
              </w:rPr>
              <w:t>3 год</w:t>
            </w:r>
          </w:p>
        </w:tc>
        <w:tc>
          <w:tcPr>
            <w:tcW w:w="781" w:type="dxa"/>
          </w:tcPr>
          <w:p w:rsidR="00DE515A" w:rsidRPr="005D0431" w:rsidRDefault="005D0431" w:rsidP="00A8055D">
            <w:pPr>
              <w:pStyle w:val="a4"/>
              <w:rPr>
                <w:i w:val="0"/>
                <w:sz w:val="20"/>
                <w:szCs w:val="20"/>
              </w:rPr>
            </w:pPr>
            <w:r>
              <w:rPr>
                <w:i w:val="0"/>
                <w:sz w:val="20"/>
                <w:szCs w:val="20"/>
              </w:rPr>
              <w:t>2000</w:t>
            </w:r>
          </w:p>
        </w:tc>
        <w:tc>
          <w:tcPr>
            <w:tcW w:w="782" w:type="dxa"/>
          </w:tcPr>
          <w:p w:rsidR="00DE515A" w:rsidRPr="005D0431" w:rsidRDefault="005D0431" w:rsidP="00A8055D">
            <w:pPr>
              <w:pStyle w:val="a4"/>
              <w:rPr>
                <w:i w:val="0"/>
                <w:sz w:val="20"/>
                <w:szCs w:val="20"/>
              </w:rPr>
            </w:pPr>
            <w:r>
              <w:rPr>
                <w:i w:val="0"/>
                <w:sz w:val="20"/>
                <w:szCs w:val="20"/>
              </w:rPr>
              <w:t>2100</w:t>
            </w:r>
          </w:p>
        </w:tc>
        <w:tc>
          <w:tcPr>
            <w:tcW w:w="782" w:type="dxa"/>
          </w:tcPr>
          <w:p w:rsidR="00DE515A" w:rsidRPr="005D0431" w:rsidRDefault="005D0431" w:rsidP="00A8055D">
            <w:pPr>
              <w:pStyle w:val="a4"/>
              <w:rPr>
                <w:i w:val="0"/>
                <w:sz w:val="20"/>
                <w:szCs w:val="20"/>
              </w:rPr>
            </w:pPr>
            <w:r>
              <w:rPr>
                <w:i w:val="0"/>
                <w:sz w:val="20"/>
                <w:szCs w:val="20"/>
              </w:rPr>
              <w:t>2200</w:t>
            </w:r>
          </w:p>
        </w:tc>
        <w:tc>
          <w:tcPr>
            <w:tcW w:w="782" w:type="dxa"/>
          </w:tcPr>
          <w:p w:rsidR="00DE515A" w:rsidRPr="005D0431" w:rsidRDefault="005D0431" w:rsidP="00A8055D">
            <w:pPr>
              <w:pStyle w:val="a4"/>
              <w:rPr>
                <w:i w:val="0"/>
                <w:sz w:val="20"/>
                <w:szCs w:val="20"/>
              </w:rPr>
            </w:pPr>
            <w:r>
              <w:rPr>
                <w:i w:val="0"/>
                <w:sz w:val="20"/>
                <w:szCs w:val="20"/>
              </w:rPr>
              <w:t>2600</w:t>
            </w:r>
          </w:p>
        </w:tc>
        <w:tc>
          <w:tcPr>
            <w:tcW w:w="782" w:type="dxa"/>
          </w:tcPr>
          <w:p w:rsidR="00DE515A" w:rsidRPr="005D0431" w:rsidRDefault="005D0431" w:rsidP="00A8055D">
            <w:pPr>
              <w:pStyle w:val="a4"/>
              <w:rPr>
                <w:i w:val="0"/>
                <w:sz w:val="20"/>
                <w:szCs w:val="20"/>
              </w:rPr>
            </w:pPr>
            <w:r>
              <w:rPr>
                <w:i w:val="0"/>
                <w:sz w:val="20"/>
                <w:szCs w:val="20"/>
              </w:rPr>
              <w:t>2300</w:t>
            </w:r>
          </w:p>
        </w:tc>
        <w:tc>
          <w:tcPr>
            <w:tcW w:w="782" w:type="dxa"/>
          </w:tcPr>
          <w:p w:rsidR="00DE515A" w:rsidRPr="005D0431" w:rsidRDefault="005D0431" w:rsidP="00A8055D">
            <w:pPr>
              <w:pStyle w:val="a4"/>
              <w:rPr>
                <w:i w:val="0"/>
                <w:sz w:val="20"/>
                <w:szCs w:val="20"/>
              </w:rPr>
            </w:pPr>
            <w:r>
              <w:rPr>
                <w:i w:val="0"/>
                <w:sz w:val="20"/>
                <w:szCs w:val="20"/>
              </w:rPr>
              <w:t>2400</w:t>
            </w:r>
          </w:p>
        </w:tc>
        <w:tc>
          <w:tcPr>
            <w:tcW w:w="782" w:type="dxa"/>
          </w:tcPr>
          <w:p w:rsidR="00DE515A" w:rsidRPr="005D0431" w:rsidRDefault="005D0431" w:rsidP="00A8055D">
            <w:pPr>
              <w:pStyle w:val="a4"/>
              <w:rPr>
                <w:i w:val="0"/>
                <w:sz w:val="20"/>
                <w:szCs w:val="20"/>
              </w:rPr>
            </w:pPr>
            <w:r>
              <w:rPr>
                <w:i w:val="0"/>
                <w:sz w:val="20"/>
                <w:szCs w:val="20"/>
              </w:rPr>
              <w:t>2500</w:t>
            </w:r>
          </w:p>
        </w:tc>
        <w:tc>
          <w:tcPr>
            <w:tcW w:w="782" w:type="dxa"/>
          </w:tcPr>
          <w:p w:rsidR="00DE515A" w:rsidRPr="005D0431" w:rsidRDefault="005D0431" w:rsidP="00A8055D">
            <w:pPr>
              <w:pStyle w:val="a4"/>
              <w:rPr>
                <w:i w:val="0"/>
                <w:sz w:val="20"/>
                <w:szCs w:val="20"/>
              </w:rPr>
            </w:pPr>
            <w:r>
              <w:rPr>
                <w:i w:val="0"/>
                <w:sz w:val="20"/>
                <w:szCs w:val="20"/>
              </w:rPr>
              <w:t>2200</w:t>
            </w:r>
          </w:p>
        </w:tc>
        <w:tc>
          <w:tcPr>
            <w:tcW w:w="782" w:type="dxa"/>
          </w:tcPr>
          <w:p w:rsidR="00DE515A" w:rsidRPr="005D0431" w:rsidRDefault="005D0431" w:rsidP="00A8055D">
            <w:pPr>
              <w:pStyle w:val="a4"/>
              <w:rPr>
                <w:i w:val="0"/>
                <w:sz w:val="20"/>
                <w:szCs w:val="20"/>
              </w:rPr>
            </w:pPr>
            <w:r>
              <w:rPr>
                <w:i w:val="0"/>
                <w:sz w:val="20"/>
                <w:szCs w:val="20"/>
              </w:rPr>
              <w:t>2100</w:t>
            </w:r>
          </w:p>
        </w:tc>
        <w:tc>
          <w:tcPr>
            <w:tcW w:w="782" w:type="dxa"/>
          </w:tcPr>
          <w:p w:rsidR="00DE515A" w:rsidRPr="005D0431" w:rsidRDefault="005D0431" w:rsidP="00A8055D">
            <w:pPr>
              <w:pStyle w:val="a4"/>
              <w:rPr>
                <w:i w:val="0"/>
                <w:sz w:val="20"/>
                <w:szCs w:val="20"/>
              </w:rPr>
            </w:pPr>
            <w:r>
              <w:rPr>
                <w:i w:val="0"/>
                <w:sz w:val="20"/>
                <w:szCs w:val="20"/>
              </w:rPr>
              <w:t>2500</w:t>
            </w:r>
          </w:p>
        </w:tc>
      </w:tr>
      <w:tr w:rsidR="005D0431" w:rsidTr="005D0431">
        <w:tc>
          <w:tcPr>
            <w:tcW w:w="1752" w:type="dxa"/>
          </w:tcPr>
          <w:p w:rsidR="00DE515A" w:rsidRPr="005D0431" w:rsidRDefault="005D0431" w:rsidP="00A8055D">
            <w:pPr>
              <w:pStyle w:val="a4"/>
              <w:rPr>
                <w:i w:val="0"/>
                <w:sz w:val="20"/>
                <w:szCs w:val="20"/>
              </w:rPr>
            </w:pPr>
            <w:r w:rsidRPr="005D0431">
              <w:rPr>
                <w:i w:val="0"/>
                <w:sz w:val="20"/>
                <w:szCs w:val="20"/>
              </w:rPr>
              <w:t>4 год</w:t>
            </w:r>
          </w:p>
        </w:tc>
        <w:tc>
          <w:tcPr>
            <w:tcW w:w="781" w:type="dxa"/>
          </w:tcPr>
          <w:p w:rsidR="00DE515A" w:rsidRPr="005D0431" w:rsidRDefault="005D0431" w:rsidP="00A8055D">
            <w:pPr>
              <w:pStyle w:val="a4"/>
              <w:rPr>
                <w:i w:val="0"/>
                <w:sz w:val="20"/>
                <w:szCs w:val="20"/>
              </w:rPr>
            </w:pPr>
            <w:r>
              <w:rPr>
                <w:i w:val="0"/>
                <w:sz w:val="20"/>
                <w:szCs w:val="20"/>
              </w:rPr>
              <w:t>3600</w:t>
            </w:r>
          </w:p>
        </w:tc>
        <w:tc>
          <w:tcPr>
            <w:tcW w:w="782" w:type="dxa"/>
          </w:tcPr>
          <w:p w:rsidR="00DE515A" w:rsidRPr="005D0431" w:rsidRDefault="005D0431" w:rsidP="00A8055D">
            <w:pPr>
              <w:pStyle w:val="a4"/>
              <w:rPr>
                <w:i w:val="0"/>
                <w:sz w:val="20"/>
                <w:szCs w:val="20"/>
              </w:rPr>
            </w:pPr>
            <w:r>
              <w:rPr>
                <w:i w:val="0"/>
                <w:sz w:val="20"/>
                <w:szCs w:val="20"/>
              </w:rPr>
              <w:t>3550</w:t>
            </w:r>
          </w:p>
        </w:tc>
        <w:tc>
          <w:tcPr>
            <w:tcW w:w="782" w:type="dxa"/>
          </w:tcPr>
          <w:p w:rsidR="00DE515A" w:rsidRPr="005D0431" w:rsidRDefault="005D0431" w:rsidP="00A8055D">
            <w:pPr>
              <w:pStyle w:val="a4"/>
              <w:rPr>
                <w:i w:val="0"/>
                <w:sz w:val="20"/>
                <w:szCs w:val="20"/>
              </w:rPr>
            </w:pPr>
            <w:r>
              <w:rPr>
                <w:i w:val="0"/>
                <w:sz w:val="20"/>
                <w:szCs w:val="20"/>
              </w:rPr>
              <w:t>3700</w:t>
            </w:r>
          </w:p>
        </w:tc>
        <w:tc>
          <w:tcPr>
            <w:tcW w:w="782" w:type="dxa"/>
          </w:tcPr>
          <w:p w:rsidR="00DE515A" w:rsidRPr="005D0431" w:rsidRDefault="005D0431" w:rsidP="00A8055D">
            <w:pPr>
              <w:pStyle w:val="a4"/>
              <w:rPr>
                <w:i w:val="0"/>
                <w:sz w:val="20"/>
                <w:szCs w:val="20"/>
              </w:rPr>
            </w:pPr>
            <w:r>
              <w:rPr>
                <w:i w:val="0"/>
                <w:sz w:val="20"/>
                <w:szCs w:val="20"/>
              </w:rPr>
              <w:t>3750</w:t>
            </w:r>
          </w:p>
        </w:tc>
        <w:tc>
          <w:tcPr>
            <w:tcW w:w="782" w:type="dxa"/>
          </w:tcPr>
          <w:p w:rsidR="00DE515A" w:rsidRPr="005D0431" w:rsidRDefault="005D0431" w:rsidP="00A8055D">
            <w:pPr>
              <w:pStyle w:val="a4"/>
              <w:rPr>
                <w:i w:val="0"/>
                <w:sz w:val="20"/>
                <w:szCs w:val="20"/>
              </w:rPr>
            </w:pPr>
            <w:r>
              <w:rPr>
                <w:i w:val="0"/>
                <w:sz w:val="20"/>
                <w:szCs w:val="20"/>
              </w:rPr>
              <w:t>3800</w:t>
            </w:r>
          </w:p>
        </w:tc>
        <w:tc>
          <w:tcPr>
            <w:tcW w:w="782" w:type="dxa"/>
          </w:tcPr>
          <w:p w:rsidR="00DE515A" w:rsidRPr="005D0431" w:rsidRDefault="005D0431" w:rsidP="00A8055D">
            <w:pPr>
              <w:pStyle w:val="a4"/>
              <w:rPr>
                <w:i w:val="0"/>
                <w:sz w:val="20"/>
                <w:szCs w:val="20"/>
              </w:rPr>
            </w:pPr>
            <w:r>
              <w:rPr>
                <w:i w:val="0"/>
                <w:sz w:val="20"/>
                <w:szCs w:val="20"/>
              </w:rPr>
              <w:t>3850</w:t>
            </w:r>
          </w:p>
        </w:tc>
        <w:tc>
          <w:tcPr>
            <w:tcW w:w="782" w:type="dxa"/>
          </w:tcPr>
          <w:p w:rsidR="00DE515A" w:rsidRPr="005D0431" w:rsidRDefault="005D0431" w:rsidP="00A8055D">
            <w:pPr>
              <w:pStyle w:val="a4"/>
              <w:rPr>
                <w:i w:val="0"/>
                <w:sz w:val="20"/>
                <w:szCs w:val="20"/>
              </w:rPr>
            </w:pPr>
            <w:r>
              <w:rPr>
                <w:i w:val="0"/>
                <w:sz w:val="20"/>
                <w:szCs w:val="20"/>
              </w:rPr>
              <w:t>3200</w:t>
            </w:r>
          </w:p>
        </w:tc>
        <w:tc>
          <w:tcPr>
            <w:tcW w:w="782" w:type="dxa"/>
          </w:tcPr>
          <w:p w:rsidR="00DE515A" w:rsidRPr="005D0431" w:rsidRDefault="005D0431" w:rsidP="00A8055D">
            <w:pPr>
              <w:pStyle w:val="a4"/>
              <w:rPr>
                <w:i w:val="0"/>
                <w:sz w:val="20"/>
                <w:szCs w:val="20"/>
              </w:rPr>
            </w:pPr>
            <w:r>
              <w:rPr>
                <w:i w:val="0"/>
                <w:sz w:val="20"/>
                <w:szCs w:val="20"/>
              </w:rPr>
              <w:t>3300</w:t>
            </w:r>
          </w:p>
        </w:tc>
        <w:tc>
          <w:tcPr>
            <w:tcW w:w="782" w:type="dxa"/>
          </w:tcPr>
          <w:p w:rsidR="00DE515A" w:rsidRPr="005D0431" w:rsidRDefault="005D0431" w:rsidP="00A8055D">
            <w:pPr>
              <w:pStyle w:val="a4"/>
              <w:rPr>
                <w:i w:val="0"/>
                <w:sz w:val="20"/>
                <w:szCs w:val="20"/>
              </w:rPr>
            </w:pPr>
            <w:r>
              <w:rPr>
                <w:i w:val="0"/>
                <w:sz w:val="20"/>
                <w:szCs w:val="20"/>
              </w:rPr>
              <w:t>3450</w:t>
            </w:r>
          </w:p>
        </w:tc>
        <w:tc>
          <w:tcPr>
            <w:tcW w:w="782" w:type="dxa"/>
          </w:tcPr>
          <w:p w:rsidR="00DE515A" w:rsidRPr="005D0431" w:rsidRDefault="005D0431" w:rsidP="00A8055D">
            <w:pPr>
              <w:pStyle w:val="a4"/>
              <w:rPr>
                <w:i w:val="0"/>
                <w:sz w:val="20"/>
                <w:szCs w:val="20"/>
              </w:rPr>
            </w:pPr>
            <w:r>
              <w:rPr>
                <w:i w:val="0"/>
                <w:sz w:val="20"/>
                <w:szCs w:val="20"/>
              </w:rPr>
              <w:t>3850</w:t>
            </w:r>
          </w:p>
        </w:tc>
      </w:tr>
      <w:tr w:rsidR="005D0431" w:rsidTr="005D0431">
        <w:tc>
          <w:tcPr>
            <w:tcW w:w="1752" w:type="dxa"/>
          </w:tcPr>
          <w:p w:rsidR="005D0431" w:rsidRPr="005D0431" w:rsidRDefault="005D0431" w:rsidP="005D0431">
            <w:pPr>
              <w:pStyle w:val="a4"/>
              <w:jc w:val="left"/>
              <w:rPr>
                <w:i w:val="0"/>
                <w:sz w:val="20"/>
                <w:szCs w:val="20"/>
              </w:rPr>
            </w:pPr>
            <w:r w:rsidRPr="005D0431">
              <w:rPr>
                <w:i w:val="0"/>
                <w:sz w:val="20"/>
                <w:szCs w:val="20"/>
              </w:rPr>
              <w:t>Инвестиции осуществляются единовременно до начала реализации проекта (нулевой этап) и составляют</w:t>
            </w:r>
            <w:r>
              <w:rPr>
                <w:i w:val="0"/>
                <w:sz w:val="20"/>
                <w:szCs w:val="20"/>
              </w:rPr>
              <w:t xml:space="preserve">, тыс. </w:t>
            </w:r>
            <w:proofErr w:type="spellStart"/>
            <w:r>
              <w:rPr>
                <w:i w:val="0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781" w:type="dxa"/>
          </w:tcPr>
          <w:p w:rsidR="005D0431" w:rsidRPr="005D0431" w:rsidRDefault="005D0431" w:rsidP="00027777">
            <w:pPr>
              <w:pStyle w:val="a4"/>
              <w:rPr>
                <w:i w:val="0"/>
                <w:sz w:val="20"/>
                <w:szCs w:val="20"/>
              </w:rPr>
            </w:pPr>
            <w:r>
              <w:rPr>
                <w:i w:val="0"/>
                <w:sz w:val="20"/>
                <w:szCs w:val="20"/>
              </w:rPr>
              <w:t>3600</w:t>
            </w:r>
          </w:p>
        </w:tc>
        <w:tc>
          <w:tcPr>
            <w:tcW w:w="782" w:type="dxa"/>
          </w:tcPr>
          <w:p w:rsidR="005D0431" w:rsidRPr="005D0431" w:rsidRDefault="005D0431" w:rsidP="00027777">
            <w:pPr>
              <w:pStyle w:val="a4"/>
              <w:rPr>
                <w:i w:val="0"/>
                <w:sz w:val="20"/>
                <w:szCs w:val="20"/>
              </w:rPr>
            </w:pPr>
            <w:r>
              <w:rPr>
                <w:i w:val="0"/>
                <w:sz w:val="20"/>
                <w:szCs w:val="20"/>
              </w:rPr>
              <w:t>3550</w:t>
            </w:r>
          </w:p>
        </w:tc>
        <w:tc>
          <w:tcPr>
            <w:tcW w:w="782" w:type="dxa"/>
          </w:tcPr>
          <w:p w:rsidR="005D0431" w:rsidRPr="005D0431" w:rsidRDefault="005D0431" w:rsidP="00027777">
            <w:pPr>
              <w:pStyle w:val="a4"/>
              <w:rPr>
                <w:i w:val="0"/>
                <w:sz w:val="20"/>
                <w:szCs w:val="20"/>
              </w:rPr>
            </w:pPr>
            <w:r>
              <w:rPr>
                <w:i w:val="0"/>
                <w:sz w:val="20"/>
                <w:szCs w:val="20"/>
              </w:rPr>
              <w:t>3700</w:t>
            </w:r>
          </w:p>
        </w:tc>
        <w:tc>
          <w:tcPr>
            <w:tcW w:w="782" w:type="dxa"/>
          </w:tcPr>
          <w:p w:rsidR="005D0431" w:rsidRPr="005D0431" w:rsidRDefault="005D0431" w:rsidP="00027777">
            <w:pPr>
              <w:pStyle w:val="a4"/>
              <w:rPr>
                <w:i w:val="0"/>
                <w:sz w:val="20"/>
                <w:szCs w:val="20"/>
              </w:rPr>
            </w:pPr>
            <w:r>
              <w:rPr>
                <w:i w:val="0"/>
                <w:sz w:val="20"/>
                <w:szCs w:val="20"/>
              </w:rPr>
              <w:t>3750</w:t>
            </w:r>
          </w:p>
        </w:tc>
        <w:tc>
          <w:tcPr>
            <w:tcW w:w="782" w:type="dxa"/>
          </w:tcPr>
          <w:p w:rsidR="005D0431" w:rsidRPr="005D0431" w:rsidRDefault="005D0431" w:rsidP="00027777">
            <w:pPr>
              <w:pStyle w:val="a4"/>
              <w:rPr>
                <w:i w:val="0"/>
                <w:sz w:val="20"/>
                <w:szCs w:val="20"/>
              </w:rPr>
            </w:pPr>
            <w:r>
              <w:rPr>
                <w:i w:val="0"/>
                <w:sz w:val="20"/>
                <w:szCs w:val="20"/>
              </w:rPr>
              <w:t>3800</w:t>
            </w:r>
          </w:p>
        </w:tc>
        <w:tc>
          <w:tcPr>
            <w:tcW w:w="782" w:type="dxa"/>
          </w:tcPr>
          <w:p w:rsidR="005D0431" w:rsidRPr="005D0431" w:rsidRDefault="005D0431" w:rsidP="00027777">
            <w:pPr>
              <w:pStyle w:val="a4"/>
              <w:rPr>
                <w:i w:val="0"/>
                <w:sz w:val="20"/>
                <w:szCs w:val="20"/>
              </w:rPr>
            </w:pPr>
            <w:r>
              <w:rPr>
                <w:i w:val="0"/>
                <w:sz w:val="20"/>
                <w:szCs w:val="20"/>
              </w:rPr>
              <w:t>3850</w:t>
            </w:r>
          </w:p>
        </w:tc>
        <w:tc>
          <w:tcPr>
            <w:tcW w:w="782" w:type="dxa"/>
          </w:tcPr>
          <w:p w:rsidR="005D0431" w:rsidRPr="005D0431" w:rsidRDefault="005D0431" w:rsidP="00027777">
            <w:pPr>
              <w:pStyle w:val="a4"/>
              <w:rPr>
                <w:i w:val="0"/>
                <w:sz w:val="20"/>
                <w:szCs w:val="20"/>
              </w:rPr>
            </w:pPr>
            <w:r>
              <w:rPr>
                <w:i w:val="0"/>
                <w:sz w:val="20"/>
                <w:szCs w:val="20"/>
              </w:rPr>
              <w:t>3200</w:t>
            </w:r>
          </w:p>
        </w:tc>
        <w:tc>
          <w:tcPr>
            <w:tcW w:w="782" w:type="dxa"/>
          </w:tcPr>
          <w:p w:rsidR="005D0431" w:rsidRPr="005D0431" w:rsidRDefault="005D0431" w:rsidP="00027777">
            <w:pPr>
              <w:pStyle w:val="a4"/>
              <w:rPr>
                <w:i w:val="0"/>
                <w:sz w:val="20"/>
                <w:szCs w:val="20"/>
              </w:rPr>
            </w:pPr>
            <w:r>
              <w:rPr>
                <w:i w:val="0"/>
                <w:sz w:val="20"/>
                <w:szCs w:val="20"/>
              </w:rPr>
              <w:t>3300</w:t>
            </w:r>
          </w:p>
        </w:tc>
        <w:tc>
          <w:tcPr>
            <w:tcW w:w="782" w:type="dxa"/>
          </w:tcPr>
          <w:p w:rsidR="005D0431" w:rsidRPr="005D0431" w:rsidRDefault="005D0431" w:rsidP="00027777">
            <w:pPr>
              <w:pStyle w:val="a4"/>
              <w:rPr>
                <w:i w:val="0"/>
                <w:sz w:val="20"/>
                <w:szCs w:val="20"/>
              </w:rPr>
            </w:pPr>
            <w:r>
              <w:rPr>
                <w:i w:val="0"/>
                <w:sz w:val="20"/>
                <w:szCs w:val="20"/>
              </w:rPr>
              <w:t>3450</w:t>
            </w:r>
          </w:p>
        </w:tc>
        <w:tc>
          <w:tcPr>
            <w:tcW w:w="782" w:type="dxa"/>
          </w:tcPr>
          <w:p w:rsidR="005D0431" w:rsidRPr="005D0431" w:rsidRDefault="005D0431" w:rsidP="00027777">
            <w:pPr>
              <w:pStyle w:val="a4"/>
              <w:rPr>
                <w:i w:val="0"/>
                <w:sz w:val="20"/>
                <w:szCs w:val="20"/>
              </w:rPr>
            </w:pPr>
            <w:r>
              <w:rPr>
                <w:i w:val="0"/>
                <w:sz w:val="20"/>
                <w:szCs w:val="20"/>
              </w:rPr>
              <w:t>3850</w:t>
            </w:r>
          </w:p>
        </w:tc>
      </w:tr>
    </w:tbl>
    <w:p w:rsidR="00A8055D" w:rsidRPr="00DE515A" w:rsidRDefault="00A8055D" w:rsidP="00A8055D">
      <w:pPr>
        <w:pStyle w:val="a4"/>
        <w:ind w:firstLine="708"/>
        <w:rPr>
          <w:i w:val="0"/>
        </w:rPr>
      </w:pPr>
    </w:p>
    <w:p w:rsidR="00A8055D" w:rsidRDefault="00A8055D" w:rsidP="00A8055D">
      <w:pPr>
        <w:pStyle w:val="a4"/>
        <w:ind w:firstLine="708"/>
      </w:pPr>
    </w:p>
    <w:p w:rsidR="00A8055D" w:rsidRDefault="00A8055D" w:rsidP="00A8055D">
      <w:pPr>
        <w:pStyle w:val="a4"/>
        <w:ind w:firstLine="708"/>
      </w:pPr>
    </w:p>
    <w:p w:rsidR="00A8055D" w:rsidRDefault="00A8055D" w:rsidP="00A8055D">
      <w:pPr>
        <w:pStyle w:val="a4"/>
        <w:ind w:firstLine="708"/>
      </w:pPr>
    </w:p>
    <w:sectPr w:rsidR="00A8055D">
      <w:footerReference w:type="even" r:id="rId60"/>
      <w:footerReference w:type="default" r:id="rId61"/>
      <w:endnotePr>
        <w:numFmt w:val="decimal"/>
      </w:endnote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4369" w:rsidRDefault="00153811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A4369" w:rsidRDefault="00153811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4369" w:rsidRDefault="00153811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007A97">
      <w:rPr>
        <w:rStyle w:val="a8"/>
        <w:noProof/>
      </w:rPr>
      <w:t>11</w:t>
    </w:r>
    <w:r>
      <w:rPr>
        <w:rStyle w:val="a8"/>
      </w:rPr>
      <w:fldChar w:fldCharType="end"/>
    </w:r>
  </w:p>
  <w:p w:rsidR="007A4369" w:rsidRDefault="00153811">
    <w:pPr>
      <w:pStyle w:val="a6"/>
      <w:ind w:right="36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50AA9"/>
    <w:multiLevelType w:val="hybridMultilevel"/>
    <w:tmpl w:val="1714C8F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33C5582">
      <w:start w:val="1"/>
      <w:numFmt w:val="decimal"/>
      <w:lvlText w:val="%2."/>
      <w:lvlJc w:val="left"/>
      <w:pPr>
        <w:tabs>
          <w:tab w:val="num" w:pos="1605"/>
        </w:tabs>
        <w:ind w:left="1605" w:hanging="885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E7E3930"/>
    <w:multiLevelType w:val="hybridMultilevel"/>
    <w:tmpl w:val="332ECA5A"/>
    <w:lvl w:ilvl="0" w:tplc="FE5223D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44A584B"/>
    <w:multiLevelType w:val="hybridMultilevel"/>
    <w:tmpl w:val="7F6E42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412424"/>
    <w:multiLevelType w:val="hybridMultilevel"/>
    <w:tmpl w:val="8B246908"/>
    <w:lvl w:ilvl="0" w:tplc="FE5223D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75C7A96"/>
    <w:multiLevelType w:val="hybridMultilevel"/>
    <w:tmpl w:val="2E967666"/>
    <w:lvl w:ilvl="0" w:tplc="FE5223D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4E95974"/>
    <w:multiLevelType w:val="multilevel"/>
    <w:tmpl w:val="02EC81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245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6">
    <w:nsid w:val="5DD906E1"/>
    <w:multiLevelType w:val="hybridMultilevel"/>
    <w:tmpl w:val="22AC90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74F7DFF"/>
    <w:multiLevelType w:val="hybridMultilevel"/>
    <w:tmpl w:val="19D2E030"/>
    <w:lvl w:ilvl="0" w:tplc="523E9E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4"/>
  </w:num>
  <w:num w:numId="5">
    <w:abstractNumId w:val="1"/>
  </w:num>
  <w:num w:numId="6">
    <w:abstractNumId w:val="3"/>
  </w:num>
  <w:num w:numId="7">
    <w:abstractNumId w:val="0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characterSpacingControl w:val="doNotCompress"/>
  <w:endnotePr>
    <w:numFmt w:val="decimal"/>
  </w:endnotePr>
  <w:compat/>
  <w:rsids>
    <w:rsidRoot w:val="00A8055D"/>
    <w:rsid w:val="00007A97"/>
    <w:rsid w:val="00153811"/>
    <w:rsid w:val="001B1FCF"/>
    <w:rsid w:val="003C67F4"/>
    <w:rsid w:val="005D0431"/>
    <w:rsid w:val="007A35A5"/>
    <w:rsid w:val="009C1813"/>
    <w:rsid w:val="00A56062"/>
    <w:rsid w:val="00A8055D"/>
    <w:rsid w:val="00AE44C9"/>
    <w:rsid w:val="00BD327D"/>
    <w:rsid w:val="00C658EF"/>
    <w:rsid w:val="00CA1B6D"/>
    <w:rsid w:val="00DE515A"/>
    <w:rsid w:val="00F41B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55D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2">
    <w:name w:val="heading 2"/>
    <w:basedOn w:val="a"/>
    <w:next w:val="a"/>
    <w:link w:val="20"/>
    <w:qFormat/>
    <w:rsid w:val="00A8055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055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A8055D"/>
    <w:pPr>
      <w:keepNext/>
      <w:jc w:val="center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A8055D"/>
    <w:pPr>
      <w:keepNext/>
      <w:ind w:firstLine="357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055D"/>
    <w:pPr>
      <w:keepNext/>
      <w:keepLines/>
      <w:spacing w:before="200"/>
      <w:outlineLvl w:val="5"/>
    </w:pPr>
    <w:rPr>
      <w:rFonts w:ascii="Cambria" w:eastAsia="Times New Roman" w:hAnsi="Cambria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055D"/>
    <w:rPr>
      <w:rFonts w:ascii="Arial" w:eastAsia="SimSun" w:hAnsi="Arial" w:cs="Arial"/>
      <w:b/>
      <w:bCs/>
      <w:i/>
      <w:iCs/>
      <w:sz w:val="28"/>
      <w:szCs w:val="28"/>
      <w:lang w:eastAsia="zh-CN"/>
    </w:rPr>
  </w:style>
  <w:style w:type="character" w:customStyle="1" w:styleId="40">
    <w:name w:val="Заголовок 4 Знак"/>
    <w:basedOn w:val="a0"/>
    <w:link w:val="4"/>
    <w:rsid w:val="00A8055D"/>
    <w:rPr>
      <w:rFonts w:ascii="Times New Roman" w:eastAsia="SimSun" w:hAnsi="Times New Roman" w:cs="Times New Roman"/>
      <w:b/>
      <w:bCs/>
      <w:sz w:val="28"/>
      <w:szCs w:val="28"/>
      <w:lang w:eastAsia="zh-CN"/>
    </w:rPr>
  </w:style>
  <w:style w:type="character" w:customStyle="1" w:styleId="50">
    <w:name w:val="Заголовок 5 Знак"/>
    <w:basedOn w:val="a0"/>
    <w:link w:val="5"/>
    <w:rsid w:val="00A8055D"/>
    <w:rPr>
      <w:rFonts w:ascii="Times New Roman" w:eastAsia="SimSun" w:hAnsi="Times New Roman" w:cs="Times New Roman"/>
      <w:b/>
      <w:bCs/>
      <w:sz w:val="28"/>
      <w:szCs w:val="28"/>
      <w:lang w:eastAsia="zh-CN"/>
    </w:rPr>
  </w:style>
  <w:style w:type="character" w:customStyle="1" w:styleId="60">
    <w:name w:val="Заголовок 6 Знак"/>
    <w:basedOn w:val="a0"/>
    <w:link w:val="6"/>
    <w:uiPriority w:val="9"/>
    <w:semiHidden/>
    <w:rsid w:val="00A8055D"/>
    <w:rPr>
      <w:rFonts w:ascii="Cambria" w:eastAsia="Times New Roman" w:hAnsi="Cambria" w:cs="Times New Roman"/>
      <w:i/>
      <w:iCs/>
      <w:color w:val="243F60"/>
      <w:sz w:val="24"/>
      <w:szCs w:val="24"/>
      <w:lang w:eastAsia="zh-CN"/>
    </w:rPr>
  </w:style>
  <w:style w:type="paragraph" w:customStyle="1" w:styleId="a3">
    <w:name w:val="Аврора"/>
    <w:basedOn w:val="a"/>
    <w:rsid w:val="00A8055D"/>
    <w:pPr>
      <w:spacing w:line="360" w:lineRule="auto"/>
      <w:jc w:val="both"/>
    </w:pPr>
    <w:rPr>
      <w:rFonts w:eastAsia="Times New Roman"/>
      <w:sz w:val="28"/>
      <w:szCs w:val="20"/>
      <w:lang w:eastAsia="ru-RU"/>
    </w:rPr>
  </w:style>
  <w:style w:type="paragraph" w:styleId="a4">
    <w:name w:val="Body Text"/>
    <w:basedOn w:val="a"/>
    <w:link w:val="a5"/>
    <w:semiHidden/>
    <w:rsid w:val="00A8055D"/>
    <w:pPr>
      <w:jc w:val="both"/>
    </w:pPr>
    <w:rPr>
      <w:i/>
      <w:sz w:val="28"/>
      <w:szCs w:val="28"/>
    </w:rPr>
  </w:style>
  <w:style w:type="character" w:customStyle="1" w:styleId="a5">
    <w:name w:val="Основной текст Знак"/>
    <w:basedOn w:val="a0"/>
    <w:link w:val="a4"/>
    <w:semiHidden/>
    <w:rsid w:val="00A8055D"/>
    <w:rPr>
      <w:rFonts w:ascii="Times New Roman" w:eastAsia="SimSun" w:hAnsi="Times New Roman" w:cs="Times New Roman"/>
      <w:i/>
      <w:sz w:val="28"/>
      <w:szCs w:val="28"/>
      <w:lang w:eastAsia="zh-CN"/>
    </w:rPr>
  </w:style>
  <w:style w:type="paragraph" w:styleId="a6">
    <w:name w:val="footer"/>
    <w:basedOn w:val="a"/>
    <w:link w:val="a7"/>
    <w:semiHidden/>
    <w:rsid w:val="00A8055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semiHidden/>
    <w:rsid w:val="00A8055D"/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a8">
    <w:name w:val="page number"/>
    <w:basedOn w:val="a0"/>
    <w:semiHidden/>
    <w:rsid w:val="00A8055D"/>
  </w:style>
  <w:style w:type="paragraph" w:styleId="a9">
    <w:name w:val="List Paragraph"/>
    <w:basedOn w:val="a"/>
    <w:uiPriority w:val="34"/>
    <w:qFormat/>
    <w:rsid w:val="00A8055D"/>
    <w:pPr>
      <w:ind w:left="720"/>
      <w:contextualSpacing/>
    </w:pPr>
  </w:style>
  <w:style w:type="paragraph" w:customStyle="1" w:styleId="1">
    <w:name w:val="Обычный1"/>
    <w:rsid w:val="00A805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A8055D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A8055D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a">
    <w:name w:val="Balloon Text"/>
    <w:basedOn w:val="a"/>
    <w:link w:val="ab"/>
    <w:uiPriority w:val="99"/>
    <w:semiHidden/>
    <w:unhideWhenUsed/>
    <w:rsid w:val="00A8055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8055D"/>
    <w:rPr>
      <w:rFonts w:ascii="Tahoma" w:eastAsia="SimSun" w:hAnsi="Tahoma" w:cs="Tahoma"/>
      <w:sz w:val="16"/>
      <w:szCs w:val="16"/>
      <w:lang w:eastAsia="zh-CN"/>
    </w:rPr>
  </w:style>
  <w:style w:type="character" w:customStyle="1" w:styleId="30">
    <w:name w:val="Заголовок 3 Знак"/>
    <w:basedOn w:val="a0"/>
    <w:link w:val="3"/>
    <w:uiPriority w:val="9"/>
    <w:semiHidden/>
    <w:rsid w:val="00A8055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zh-CN"/>
    </w:rPr>
  </w:style>
  <w:style w:type="paragraph" w:customStyle="1" w:styleId="23">
    <w:name w:val="Обычный2"/>
    <w:rsid w:val="00A805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c">
    <w:name w:val="Table Grid"/>
    <w:basedOn w:val="a1"/>
    <w:uiPriority w:val="59"/>
    <w:rsid w:val="00DE515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png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image" Target="media/image18.png"/><Relationship Id="rId21" Type="http://schemas.openxmlformats.org/officeDocument/2006/relationships/image" Target="media/image9.png"/><Relationship Id="rId34" Type="http://schemas.openxmlformats.org/officeDocument/2006/relationships/oleObject" Target="embeddings/oleObject15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50" Type="http://schemas.openxmlformats.org/officeDocument/2006/relationships/image" Target="media/image23.wmf"/><Relationship Id="rId55" Type="http://schemas.openxmlformats.org/officeDocument/2006/relationships/image" Target="media/image26.png"/><Relationship Id="rId63" Type="http://schemas.openxmlformats.org/officeDocument/2006/relationships/theme" Target="theme/theme1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3.wmf"/><Relationship Id="rId41" Type="http://schemas.openxmlformats.org/officeDocument/2006/relationships/chart" Target="charts/chart1.xml"/><Relationship Id="rId54" Type="http://schemas.openxmlformats.org/officeDocument/2006/relationships/image" Target="media/image25.png"/><Relationship Id="rId62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7.png"/><Relationship Id="rId40" Type="http://schemas.openxmlformats.org/officeDocument/2006/relationships/oleObject" Target="embeddings/oleObject18.bin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4.bin"/><Relationship Id="rId58" Type="http://schemas.openxmlformats.org/officeDocument/2006/relationships/oleObject" Target="embeddings/oleObject26.bin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png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oleObject" Target="embeddings/oleObject22.bin"/><Relationship Id="rId57" Type="http://schemas.openxmlformats.org/officeDocument/2006/relationships/image" Target="media/image27.png"/><Relationship Id="rId61" Type="http://schemas.openxmlformats.org/officeDocument/2006/relationships/footer" Target="footer2.xml"/><Relationship Id="rId10" Type="http://schemas.openxmlformats.org/officeDocument/2006/relationships/oleObject" Target="embeddings/oleObject3.bin"/><Relationship Id="rId19" Type="http://schemas.openxmlformats.org/officeDocument/2006/relationships/image" Target="media/image8.png"/><Relationship Id="rId31" Type="http://schemas.openxmlformats.org/officeDocument/2006/relationships/image" Target="media/image14.png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56" Type="http://schemas.openxmlformats.org/officeDocument/2006/relationships/oleObject" Target="embeddings/oleObject25.bin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3.bin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png"/><Relationship Id="rId25" Type="http://schemas.openxmlformats.org/officeDocument/2006/relationships/image" Target="media/image11.png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image" Target="media/image21.wmf"/><Relationship Id="rId5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>
        <c:manualLayout>
          <c:layoutTarget val="inner"/>
          <c:xMode val="edge"/>
          <c:yMode val="edge"/>
          <c:x val="0.14910858995137771"/>
          <c:y val="0.22570532915360503"/>
          <c:w val="0.81199351701782863"/>
          <c:h val="0.60815047021944801"/>
        </c:manualLayout>
      </c:layout>
      <c:scatterChart>
        <c:scatterStyle val="lineMarker"/>
        <c:ser>
          <c:idx val="0"/>
          <c:order val="0"/>
          <c:tx>
            <c:strRef>
              <c:f>'Динамические показатели'!$G$26</c:f>
              <c:strCache>
                <c:ptCount val="1"/>
                <c:pt idx="0">
                  <c:v>NPV</c:v>
                </c:pt>
              </c:strCache>
            </c:strRef>
          </c:tx>
          <c:spPr>
            <a:ln w="38099">
              <a:solidFill>
                <a:srgbClr val="000080"/>
              </a:solidFill>
              <a:prstDash val="solid"/>
            </a:ln>
          </c:spPr>
          <c:marker>
            <c:symbol val="diamond"/>
            <c:size val="8"/>
            <c:spPr>
              <a:solidFill>
                <a:srgbClr val="000080"/>
              </a:solidFill>
              <a:ln>
                <a:solidFill>
                  <a:srgbClr val="000080"/>
                </a:solidFill>
                <a:prstDash val="solid"/>
              </a:ln>
            </c:spPr>
          </c:marker>
          <c:dLbls>
            <c:dLbl>
              <c:idx val="1"/>
              <c:layout>
                <c:manualLayout>
                  <c:x val="-3.9900205506927452E-2"/>
                  <c:y val="7.7269923847062133E-2"/>
                </c:manualLayout>
              </c:layout>
              <c:dLblPos val="r"/>
              <c:showVal val="1"/>
            </c:dLbl>
            <c:spPr>
              <a:noFill/>
              <a:ln w="25399">
                <a:noFill/>
              </a:ln>
            </c:spPr>
            <c:showVal val="1"/>
          </c:dLbls>
          <c:xVal>
            <c:numRef>
              <c:f>'Динамические показатели'!$H$25:$I$25</c:f>
              <c:numCache>
                <c:formatCode>General</c:formatCode>
                <c:ptCount val="2"/>
                <c:pt idx="0">
                  <c:v>0.15000000000000024</c:v>
                </c:pt>
                <c:pt idx="1">
                  <c:v>0.35000000000000031</c:v>
                </c:pt>
              </c:numCache>
            </c:numRef>
          </c:xVal>
          <c:yVal>
            <c:numRef>
              <c:f>'Динамические показатели'!$H$26:$I$26</c:f>
              <c:numCache>
                <c:formatCode>General</c:formatCode>
                <c:ptCount val="2"/>
                <c:pt idx="0">
                  <c:v>1464.81</c:v>
                </c:pt>
                <c:pt idx="1">
                  <c:v>-404.96</c:v>
                </c:pt>
              </c:numCache>
            </c:numRef>
          </c:yVal>
        </c:ser>
        <c:dLbls>
          <c:showVal val="1"/>
        </c:dLbls>
        <c:axId val="89925504"/>
        <c:axId val="89946368"/>
      </c:scatterChart>
      <c:valAx>
        <c:axId val="89925504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en-GB"/>
                  <a:t>R</a:t>
                </a:r>
              </a:p>
            </c:rich>
          </c:tx>
          <c:layout>
            <c:manualLayout>
              <c:xMode val="edge"/>
              <c:yMode val="edge"/>
              <c:x val="0.53970826580225406"/>
              <c:y val="0.87460815047023077"/>
            </c:manualLayout>
          </c:layout>
          <c:spPr>
            <a:noFill/>
            <a:ln w="25399">
              <a:noFill/>
            </a:ln>
          </c:spPr>
        </c:title>
        <c:numFmt formatCode="General" sourceLinked="1"/>
        <c:tickLblPos val="nextTo"/>
        <c:spPr>
          <a:ln w="25399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b="0"/>
            </a:pPr>
            <a:endParaRPr lang="ru-RU"/>
          </a:p>
        </c:txPr>
        <c:crossAx val="89946368"/>
        <c:crosses val="autoZero"/>
        <c:crossBetween val="midCat"/>
      </c:valAx>
      <c:valAx>
        <c:axId val="89946368"/>
        <c:scaling>
          <c:orientation val="minMax"/>
        </c:scaling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/>
              <a:lstStyle/>
              <a:p>
                <a:pPr>
                  <a:defRPr/>
                </a:pPr>
                <a:r>
                  <a:rPr lang="en-GB"/>
                  <a:t>NPV, </a:t>
                </a:r>
                <a:r>
                  <a:rPr lang="ru-RU"/>
                  <a:t>т.р.</a:t>
                </a:r>
              </a:p>
            </c:rich>
          </c:tx>
          <c:layout>
            <c:manualLayout>
              <c:xMode val="edge"/>
              <c:yMode val="edge"/>
              <c:x val="1.7828200972447326E-2"/>
              <c:y val="0.41379310344827575"/>
            </c:manualLayout>
          </c:layout>
          <c:spPr>
            <a:noFill/>
            <a:ln w="25399">
              <a:noFill/>
            </a:ln>
          </c:spPr>
        </c:title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b="0"/>
            </a:pPr>
            <a:endParaRPr lang="ru-RU"/>
          </a:p>
        </c:txPr>
        <c:crossAx val="89925504"/>
        <c:crosses val="autoZero"/>
        <c:crossBetween val="midCat"/>
      </c:valAx>
      <c:spPr>
        <a:gradFill rotWithShape="0">
          <a:gsLst>
            <a:gs pos="0">
              <a:srgbClr val="FFFFFF"/>
            </a:gs>
            <a:gs pos="100000">
              <a:srgbClr val="C0C0C0"/>
            </a:gs>
          </a:gsLst>
          <a:lin ang="5400000" scaled="1"/>
        </a:gradFill>
        <a:ln w="12700">
          <a:solidFill>
            <a:srgbClr val="808080"/>
          </a:solidFill>
          <a:prstDash val="solid"/>
        </a:ln>
      </c:spPr>
    </c:plotArea>
    <c:plotVisOnly val="1"/>
    <c:dispBlanksAs val="gap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 pitchFamily="18" charset="0"/>
          <a:ea typeface="Arial Cyr"/>
          <a:cs typeface="Times New Roman" pitchFamily="18" charset="0"/>
        </a:defRPr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>
        <c:manualLayout>
          <c:layoutTarget val="inner"/>
          <c:xMode val="edge"/>
          <c:yMode val="edge"/>
          <c:x val="0.19286871961102106"/>
          <c:y val="0.21710526315789938"/>
          <c:w val="0.77957860615885544"/>
          <c:h val="0.60855263157894735"/>
        </c:manualLayout>
      </c:layout>
      <c:scatterChart>
        <c:scatterStyle val="smoothMarker"/>
        <c:ser>
          <c:idx val="0"/>
          <c:order val="0"/>
          <c:spPr>
            <a:ln w="38099">
              <a:solidFill>
                <a:srgbClr val="FF0000"/>
              </a:solidFill>
              <a:prstDash val="solid"/>
            </a:ln>
          </c:spPr>
          <c:marker>
            <c:symbol val="diamond"/>
            <c:size val="8"/>
            <c:spPr>
              <a:solidFill>
                <a:srgbClr val="FF0000"/>
              </a:solidFill>
              <a:ln>
                <a:solidFill>
                  <a:srgbClr val="FF0000"/>
                </a:solidFill>
                <a:prstDash val="solid"/>
              </a:ln>
            </c:spPr>
          </c:marker>
          <c:yVal>
            <c:numRef>
              <c:f>'Динамические показатели'!$B$15:$E$15</c:f>
              <c:numCache>
                <c:formatCode>0.00</c:formatCode>
                <c:ptCount val="4"/>
                <c:pt idx="0">
                  <c:v>-3021.7391304347825</c:v>
                </c:pt>
                <c:pt idx="1">
                  <c:v>-2114.3667296786389</c:v>
                </c:pt>
                <c:pt idx="2">
                  <c:v>-536.32777184186693</c:v>
                </c:pt>
                <c:pt idx="3">
                  <c:v>1464.8085877337771</c:v>
                </c:pt>
              </c:numCache>
            </c:numRef>
          </c:yVal>
          <c:smooth val="1"/>
        </c:ser>
        <c:axId val="118553600"/>
        <c:axId val="121198848"/>
      </c:scatterChart>
      <c:valAx>
        <c:axId val="118553600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 sz="1100" b="1"/>
                </a:pPr>
                <a:r>
                  <a:rPr lang="en-GB" sz="1100" b="1"/>
                  <a:t>t</a:t>
                </a:r>
              </a:p>
            </c:rich>
          </c:tx>
          <c:layout>
            <c:manualLayout>
              <c:xMode val="edge"/>
              <c:yMode val="edge"/>
              <c:x val="0.57374392220422443"/>
              <c:y val="0.86842105263160541"/>
            </c:manualLayout>
          </c:layout>
          <c:spPr>
            <a:noFill/>
            <a:ln w="25399">
              <a:noFill/>
            </a:ln>
          </c:spPr>
        </c:title>
        <c:numFmt formatCode="General" sourceLinked="1"/>
        <c:tickLblPos val="nextTo"/>
        <c:spPr>
          <a:ln w="25399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00" b="1"/>
            </a:pPr>
            <a:endParaRPr lang="ru-RU"/>
          </a:p>
        </c:txPr>
        <c:crossAx val="121198848"/>
        <c:crosses val="autoZero"/>
        <c:crossBetween val="midCat"/>
      </c:valAx>
      <c:valAx>
        <c:axId val="121198848"/>
        <c:scaling>
          <c:orientation val="minMax"/>
        </c:scaling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/>
              <a:lstStyle/>
              <a:p>
                <a:pPr>
                  <a:defRPr b="1"/>
                </a:pPr>
                <a:r>
                  <a:rPr lang="en-GB" b="1"/>
                  <a:t>NPV, </a:t>
                </a:r>
                <a:r>
                  <a:rPr lang="ru-RU" b="1"/>
                  <a:t>т.р.</a:t>
                </a:r>
              </a:p>
            </c:rich>
          </c:tx>
          <c:layout>
            <c:manualLayout>
              <c:xMode val="edge"/>
              <c:yMode val="edge"/>
              <c:x val="1.7828200972447326E-2"/>
              <c:y val="0.39802631578948949"/>
            </c:manualLayout>
          </c:layout>
          <c:spPr>
            <a:noFill/>
            <a:ln w="25399">
              <a:noFill/>
            </a:ln>
          </c:spPr>
        </c:title>
        <c:numFmt formatCode="0" sourceLinked="0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00" b="0"/>
            </a:pPr>
            <a:endParaRPr lang="ru-RU"/>
          </a:p>
        </c:txPr>
        <c:crossAx val="118553600"/>
        <c:crosses val="autoZero"/>
        <c:crossBetween val="midCat"/>
      </c:valAx>
      <c:spPr>
        <a:gradFill rotWithShape="0">
          <a:gsLst>
            <a:gs pos="0">
              <a:srgbClr val="C0C0C0"/>
            </a:gs>
            <a:gs pos="100000">
              <a:srgbClr val="FFFFFF"/>
            </a:gs>
          </a:gsLst>
          <a:lin ang="5400000" scaled="1"/>
        </a:gradFill>
        <a:ln w="12700">
          <a:solidFill>
            <a:srgbClr val="000000"/>
          </a:solidFill>
          <a:prstDash val="solid"/>
        </a:ln>
      </c:spPr>
    </c:plotArea>
    <c:plotVisOnly val="1"/>
    <c:dispBlanksAs val="gap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Times New Roman" pitchFamily="18" charset="0"/>
          <a:ea typeface="Arial Cyr"/>
          <a:cs typeface="Times New Roman" pitchFamily="18" charset="0"/>
        </a:defRPr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11</Pages>
  <Words>1897</Words>
  <Characters>10817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2017-03-31T05:59:00Z</dcterms:created>
  <dcterms:modified xsi:type="dcterms:W3CDTF">2017-03-31T06:40:00Z</dcterms:modified>
</cp:coreProperties>
</file>