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CF802" w14:textId="77777777" w:rsidR="005B5682" w:rsidRDefault="005B5682" w:rsidP="005B5682">
      <w:pPr>
        <w:widowControl w:val="0"/>
        <w:spacing w:line="360" w:lineRule="auto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Министерство науки и высшего образования Российской Федерации</w:t>
      </w:r>
    </w:p>
    <w:p w14:paraId="0D2343BD" w14:textId="77777777" w:rsidR="005B5682" w:rsidRPr="007B2447" w:rsidRDefault="005B5682" w:rsidP="005B5682">
      <w:pPr>
        <w:jc w:val="center"/>
        <w:rPr>
          <w:sz w:val="28"/>
          <w:szCs w:val="28"/>
        </w:rPr>
      </w:pPr>
      <w:r w:rsidRPr="007B2447">
        <w:rPr>
          <w:sz w:val="28"/>
          <w:szCs w:val="28"/>
        </w:rPr>
        <w:t>Федеральное государственное бюджетное</w:t>
      </w:r>
    </w:p>
    <w:p w14:paraId="1CEA696D" w14:textId="77777777" w:rsidR="005B5682" w:rsidRPr="007B2447" w:rsidRDefault="005B5682" w:rsidP="005B5682">
      <w:pPr>
        <w:jc w:val="center"/>
        <w:rPr>
          <w:sz w:val="28"/>
          <w:szCs w:val="28"/>
        </w:rPr>
      </w:pPr>
      <w:r w:rsidRPr="007B2447">
        <w:rPr>
          <w:sz w:val="28"/>
          <w:szCs w:val="28"/>
        </w:rPr>
        <w:t>образовательное учреждение высшего образования</w:t>
      </w:r>
    </w:p>
    <w:p w14:paraId="67DB442D" w14:textId="77777777" w:rsidR="005B5682" w:rsidRPr="007B2447" w:rsidRDefault="005B5682" w:rsidP="005B5682">
      <w:pPr>
        <w:jc w:val="center"/>
        <w:rPr>
          <w:b/>
          <w:sz w:val="28"/>
          <w:szCs w:val="28"/>
        </w:rPr>
      </w:pPr>
      <w:r w:rsidRPr="007B2447">
        <w:rPr>
          <w:sz w:val="28"/>
          <w:szCs w:val="28"/>
        </w:rPr>
        <w:t>«Комсомольский-на-Амуре государственный университет»</w:t>
      </w:r>
    </w:p>
    <w:p w14:paraId="61D35A6C" w14:textId="77777777" w:rsidR="005B5682" w:rsidRDefault="005B5682" w:rsidP="005B5682">
      <w:pPr>
        <w:widowControl w:val="0"/>
        <w:rPr>
          <w:b/>
          <w:sz w:val="28"/>
        </w:rPr>
      </w:pPr>
    </w:p>
    <w:p w14:paraId="0440C68B" w14:textId="77777777" w:rsidR="005B5682" w:rsidRPr="007B2447" w:rsidRDefault="005B5682" w:rsidP="005B5682">
      <w:pPr>
        <w:spacing w:line="360" w:lineRule="auto"/>
        <w:rPr>
          <w:sz w:val="28"/>
          <w:szCs w:val="28"/>
        </w:rPr>
      </w:pPr>
      <w:r w:rsidRPr="007B2447">
        <w:rPr>
          <w:sz w:val="28"/>
          <w:szCs w:val="28"/>
        </w:rPr>
        <w:t xml:space="preserve">Факультет </w:t>
      </w:r>
      <w:r w:rsidRPr="007B2447"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«</w:t>
      </w:r>
      <w:r w:rsidRPr="007B2447">
        <w:rPr>
          <w:sz w:val="28"/>
          <w:szCs w:val="28"/>
        </w:rPr>
        <w:t xml:space="preserve">Машиностроения и химических </w:t>
      </w:r>
      <w:proofErr w:type="gramStart"/>
      <w:r w:rsidRPr="007B2447">
        <w:rPr>
          <w:sz w:val="28"/>
          <w:szCs w:val="28"/>
        </w:rPr>
        <w:t xml:space="preserve">технологий </w:t>
      </w:r>
      <w:r w:rsidRPr="007B2447"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»</w:t>
      </w:r>
      <w:proofErr w:type="gramEnd"/>
    </w:p>
    <w:p w14:paraId="440D65CA" w14:textId="77777777" w:rsidR="005B5682" w:rsidRPr="007B2447" w:rsidRDefault="005B5682" w:rsidP="005B5682">
      <w:pPr>
        <w:spacing w:line="360" w:lineRule="auto"/>
        <w:rPr>
          <w:sz w:val="28"/>
          <w:szCs w:val="28"/>
        </w:rPr>
      </w:pPr>
      <w:r w:rsidRPr="007B2447">
        <w:rPr>
          <w:sz w:val="28"/>
          <w:szCs w:val="28"/>
        </w:rPr>
        <w:t xml:space="preserve">Кафедра </w:t>
      </w:r>
      <w:r w:rsidRPr="007B2447"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«</w:t>
      </w:r>
      <w:r w:rsidRPr="007B2447">
        <w:rPr>
          <w:sz w:val="28"/>
          <w:szCs w:val="28"/>
        </w:rPr>
        <w:t>Машины и аппараты химических производств</w:t>
      </w:r>
      <w:r w:rsidRPr="007B2447"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»</w:t>
      </w:r>
    </w:p>
    <w:p w14:paraId="5106BF10" w14:textId="77777777" w:rsidR="005B5682" w:rsidRDefault="005B5682" w:rsidP="005B5682">
      <w:pPr>
        <w:rPr>
          <w:sz w:val="30"/>
        </w:rPr>
      </w:pPr>
    </w:p>
    <w:p w14:paraId="0ADCAA00" w14:textId="77777777" w:rsidR="005B5682" w:rsidRDefault="005B5682" w:rsidP="005B5682">
      <w:pPr>
        <w:spacing w:before="10"/>
        <w:rPr>
          <w:sz w:val="25"/>
        </w:rPr>
      </w:pPr>
    </w:p>
    <w:p w14:paraId="4E7265AA" w14:textId="77777777" w:rsidR="005B5682" w:rsidRDefault="005B5682" w:rsidP="005B5682">
      <w:pPr>
        <w:widowControl w:val="0"/>
        <w:spacing w:line="240" w:lineRule="auto"/>
        <w:ind w:right="-20"/>
        <w:rPr>
          <w:color w:val="000000"/>
          <w:sz w:val="28"/>
          <w:szCs w:val="28"/>
        </w:rPr>
      </w:pP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 xml:space="preserve">                               Р</w:t>
      </w:r>
      <w:r>
        <w:rPr>
          <w:rFonts w:ascii="LQCHC+TimesNewRomanPSMT" w:eastAsia="LQCHC+TimesNewRomanPSMT" w:hAnsi="LQCHC+TimesNewRomanPSMT" w:cs="LQCHC+TimesNewRomanPSMT"/>
          <w:color w:val="000000"/>
          <w:spacing w:val="1"/>
          <w:sz w:val="28"/>
          <w:szCs w:val="28"/>
        </w:rPr>
        <w:t>АС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ЧЁТ</w:t>
      </w:r>
      <w:r>
        <w:rPr>
          <w:rFonts w:ascii="LQCHC+TimesNewRomanPSMT" w:eastAsia="LQCHC+TimesNewRomanPSMT" w:hAnsi="LQCHC+TimesNewRomanPSMT" w:cs="LQCHC+TimesNewRomanPSMT"/>
          <w:color w:val="000000"/>
          <w:spacing w:val="1"/>
          <w:sz w:val="28"/>
          <w:szCs w:val="28"/>
        </w:rPr>
        <w:t>НО</w:t>
      </w:r>
      <w:r>
        <w:rPr>
          <w:rFonts w:ascii="Calibri" w:eastAsia="Calibri" w:hAnsi="Calibri" w:cs="Calibri"/>
          <w:color w:val="000000"/>
          <w:spacing w:val="-1"/>
          <w:w w:val="109"/>
          <w:sz w:val="28"/>
          <w:szCs w:val="28"/>
        </w:rPr>
        <w:t>-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ГРА</w:t>
      </w:r>
      <w:r>
        <w:rPr>
          <w:rFonts w:ascii="LQCHC+TimesNewRomanPSMT" w:eastAsia="LQCHC+TimesNewRomanPSMT" w:hAnsi="LQCHC+TimesNewRomanPSMT" w:cs="LQCHC+TimesNewRomanPSMT"/>
          <w:color w:val="000000"/>
          <w:spacing w:val="-2"/>
          <w:sz w:val="28"/>
          <w:szCs w:val="28"/>
        </w:rPr>
        <w:t>Ф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ИЧ</w:t>
      </w:r>
      <w:r>
        <w:rPr>
          <w:rFonts w:ascii="LQCHC+TimesNewRomanPSMT" w:eastAsia="LQCHC+TimesNewRomanPSMT" w:hAnsi="LQCHC+TimesNewRomanPSMT" w:cs="LQCHC+TimesNewRomanPSMT"/>
          <w:color w:val="000000"/>
          <w:spacing w:val="1"/>
          <w:sz w:val="28"/>
          <w:szCs w:val="28"/>
        </w:rPr>
        <w:t>Е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СКАЯ</w:t>
      </w:r>
      <w:r>
        <w:rPr>
          <w:rFonts w:ascii="LQCHC+TimesNewRomanPSMT" w:eastAsia="LQCHC+TimesNewRomanPSMT" w:hAnsi="LQCHC+TimesNewRomanPSMT" w:cs="LQCHC+TimesNewRomanPSMT"/>
          <w:color w:val="000000"/>
          <w:spacing w:val="-7"/>
          <w:sz w:val="28"/>
          <w:szCs w:val="28"/>
        </w:rPr>
        <w:t xml:space="preserve"> </w:t>
      </w:r>
      <w:r>
        <w:rPr>
          <w:rFonts w:ascii="LQCHC+TimesNewRomanPSMT" w:eastAsia="LQCHC+TimesNewRomanPSMT" w:hAnsi="LQCHC+TimesNewRomanPSMT" w:cs="LQCHC+TimesNewRomanPSMT"/>
          <w:color w:val="000000"/>
          <w:spacing w:val="-3"/>
          <w:sz w:val="28"/>
          <w:szCs w:val="28"/>
        </w:rPr>
        <w:t>Р</w:t>
      </w:r>
      <w:r>
        <w:rPr>
          <w:rFonts w:ascii="LQCHC+TimesNewRomanPSMT" w:eastAsia="LQCHC+TimesNewRomanPSMT" w:hAnsi="LQCHC+TimesNewRomanPSMT" w:cs="LQCHC+TimesNewRomanPSMT"/>
          <w:color w:val="000000"/>
          <w:spacing w:val="1"/>
          <w:sz w:val="28"/>
          <w:szCs w:val="28"/>
        </w:rPr>
        <w:t>А</w:t>
      </w:r>
      <w:r>
        <w:rPr>
          <w:rFonts w:ascii="LQCHC+TimesNewRomanPSMT" w:eastAsia="LQCHC+TimesNewRomanPSMT" w:hAnsi="LQCHC+TimesNewRomanPSMT" w:cs="LQCHC+TimesNewRomanPSMT"/>
          <w:color w:val="000000"/>
          <w:spacing w:val="-2"/>
          <w:sz w:val="28"/>
          <w:szCs w:val="28"/>
        </w:rPr>
        <w:t>Б</w:t>
      </w:r>
      <w:r>
        <w:rPr>
          <w:rFonts w:ascii="LQCHC+TimesNewRomanPSMT" w:eastAsia="LQCHC+TimesNewRomanPSMT" w:hAnsi="LQCHC+TimesNewRomanPSMT" w:cs="LQCHC+TimesNewRomanPSMT"/>
          <w:color w:val="000000"/>
          <w:spacing w:val="1"/>
          <w:sz w:val="28"/>
          <w:szCs w:val="28"/>
        </w:rPr>
        <w:t>О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ТА</w:t>
      </w:r>
    </w:p>
    <w:p w14:paraId="15B31648" w14:textId="77777777" w:rsidR="005B5682" w:rsidRDefault="005B5682" w:rsidP="005B5682">
      <w:pPr>
        <w:spacing w:line="360" w:lineRule="auto"/>
        <w:jc w:val="center"/>
        <w:rPr>
          <w:sz w:val="28"/>
        </w:rPr>
      </w:pPr>
    </w:p>
    <w:p w14:paraId="126A94BC" w14:textId="77777777" w:rsidR="005B5682" w:rsidRDefault="005B5682" w:rsidP="005B5682">
      <w:pPr>
        <w:spacing w:line="360" w:lineRule="auto"/>
        <w:jc w:val="center"/>
        <w:rPr>
          <w:sz w:val="28"/>
        </w:rPr>
      </w:pPr>
      <w:r>
        <w:rPr>
          <w:sz w:val="28"/>
        </w:rPr>
        <w:t>по дисциплине «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Промышле</w:t>
      </w:r>
      <w:r>
        <w:rPr>
          <w:rFonts w:ascii="LQCHC+TimesNewRomanPSMT" w:eastAsia="LQCHC+TimesNewRomanPSMT" w:hAnsi="LQCHC+TimesNewRomanPSMT" w:cs="LQCHC+TimesNewRomanPSMT"/>
          <w:color w:val="000000"/>
          <w:spacing w:val="-1"/>
          <w:sz w:val="28"/>
          <w:szCs w:val="28"/>
        </w:rPr>
        <w:t>н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ная</w:t>
      </w:r>
      <w:r>
        <w:rPr>
          <w:rFonts w:ascii="LQCHC+TimesNewRomanPSMT" w:eastAsia="LQCHC+TimesNewRomanPSMT" w:hAnsi="LQCHC+TimesNewRomanPSMT" w:cs="LQCHC+TimesNewRomanPSMT"/>
          <w:color w:val="000000"/>
          <w:spacing w:val="-2"/>
          <w:sz w:val="28"/>
          <w:szCs w:val="28"/>
        </w:rPr>
        <w:t xml:space="preserve"> 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бе</w:t>
      </w:r>
      <w:r>
        <w:rPr>
          <w:rFonts w:ascii="LQCHC+TimesNewRomanPSMT" w:eastAsia="LQCHC+TimesNewRomanPSMT" w:hAnsi="LQCHC+TimesNewRomanPSMT" w:cs="LQCHC+TimesNewRomanPSMT"/>
          <w:color w:val="000000"/>
          <w:spacing w:val="-2"/>
          <w:sz w:val="28"/>
          <w:szCs w:val="28"/>
        </w:rPr>
        <w:t>з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опасность неф</w:t>
      </w:r>
      <w:r>
        <w:rPr>
          <w:rFonts w:ascii="LQCHC+TimesNewRomanPSMT" w:eastAsia="LQCHC+TimesNewRomanPSMT" w:hAnsi="LQCHC+TimesNewRomanPSMT" w:cs="LQCHC+TimesNewRomanPSMT"/>
          <w:color w:val="000000"/>
          <w:spacing w:val="-2"/>
          <w:sz w:val="28"/>
          <w:szCs w:val="28"/>
        </w:rPr>
        <w:t>т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еп</w:t>
      </w:r>
      <w:r>
        <w:rPr>
          <w:rFonts w:ascii="LQCHC+TimesNewRomanPSMT" w:eastAsia="LQCHC+TimesNewRomanPSMT" w:hAnsi="LQCHC+TimesNewRomanPSMT" w:cs="LQCHC+TimesNewRomanPSMT"/>
          <w:color w:val="000000"/>
          <w:spacing w:val="-1"/>
          <w:sz w:val="28"/>
          <w:szCs w:val="28"/>
        </w:rPr>
        <w:t>е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р</w:t>
      </w:r>
      <w:r>
        <w:rPr>
          <w:rFonts w:ascii="LQCHC+TimesNewRomanPSMT" w:eastAsia="LQCHC+TimesNewRomanPSMT" w:hAnsi="LQCHC+TimesNewRomanPSMT" w:cs="LQCHC+TimesNewRomanPSMT"/>
          <w:color w:val="000000"/>
          <w:spacing w:val="-1"/>
          <w:sz w:val="28"/>
          <w:szCs w:val="28"/>
        </w:rPr>
        <w:t>е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р</w:t>
      </w:r>
      <w:r>
        <w:rPr>
          <w:rFonts w:ascii="LQCHC+TimesNewRomanPSMT" w:eastAsia="LQCHC+TimesNewRomanPSMT" w:hAnsi="LQCHC+TimesNewRomanPSMT" w:cs="LQCHC+TimesNewRomanPSMT"/>
          <w:color w:val="000000"/>
          <w:spacing w:val="-1"/>
          <w:sz w:val="28"/>
          <w:szCs w:val="28"/>
        </w:rPr>
        <w:t>а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баты</w:t>
      </w:r>
      <w:r>
        <w:rPr>
          <w:rFonts w:ascii="LQCHC+TimesNewRomanPSMT" w:eastAsia="LQCHC+TimesNewRomanPSMT" w:hAnsi="LQCHC+TimesNewRomanPSMT" w:cs="LQCHC+TimesNewRomanPSMT"/>
          <w:color w:val="000000"/>
          <w:spacing w:val="-1"/>
          <w:sz w:val="28"/>
          <w:szCs w:val="28"/>
        </w:rPr>
        <w:t>в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аю</w:t>
      </w:r>
      <w:r>
        <w:rPr>
          <w:rFonts w:ascii="LQCHC+TimesNewRomanPSMT" w:eastAsia="LQCHC+TimesNewRomanPSMT" w:hAnsi="LQCHC+TimesNewRomanPSMT" w:cs="LQCHC+TimesNewRomanPSMT"/>
          <w:color w:val="000000"/>
          <w:spacing w:val="-1"/>
          <w:sz w:val="28"/>
          <w:szCs w:val="28"/>
        </w:rPr>
        <w:t>щи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х пр</w:t>
      </w:r>
      <w:r>
        <w:rPr>
          <w:rFonts w:ascii="LQCHC+TimesNewRomanPSMT" w:eastAsia="LQCHC+TimesNewRomanPSMT" w:hAnsi="LQCHC+TimesNewRomanPSMT" w:cs="LQCHC+TimesNewRomanPSMT"/>
          <w:color w:val="000000"/>
          <w:spacing w:val="1"/>
          <w:sz w:val="28"/>
          <w:szCs w:val="28"/>
        </w:rPr>
        <w:t>ои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з</w:t>
      </w:r>
      <w:r>
        <w:rPr>
          <w:rFonts w:ascii="LQCHC+TimesNewRomanPSMT" w:eastAsia="LQCHC+TimesNewRomanPSMT" w:hAnsi="LQCHC+TimesNewRomanPSMT" w:cs="LQCHC+TimesNewRomanPSMT"/>
          <w:color w:val="000000"/>
          <w:spacing w:val="-1"/>
          <w:sz w:val="28"/>
          <w:szCs w:val="28"/>
        </w:rPr>
        <w:t>во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дств</w:t>
      </w:r>
      <w:r>
        <w:rPr>
          <w:sz w:val="28"/>
        </w:rPr>
        <w:t xml:space="preserve">» </w:t>
      </w:r>
    </w:p>
    <w:p w14:paraId="1DD8BC34" w14:textId="77777777" w:rsidR="005B5682" w:rsidRDefault="005B5682" w:rsidP="005B5682">
      <w:pPr>
        <w:widowControl w:val="0"/>
        <w:spacing w:line="240" w:lineRule="auto"/>
        <w:ind w:right="-20"/>
        <w:rPr>
          <w:color w:val="000000"/>
          <w:sz w:val="28"/>
          <w:szCs w:val="28"/>
        </w:rPr>
      </w:pPr>
      <w:r>
        <w:rPr>
          <w:sz w:val="28"/>
        </w:rPr>
        <w:t xml:space="preserve">                   Тема проекта: «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расчет</w:t>
      </w:r>
      <w:r>
        <w:rPr>
          <w:rFonts w:ascii="LQCHC+TimesNewRomanPSMT" w:eastAsia="LQCHC+TimesNewRomanPSMT" w:hAnsi="LQCHC+TimesNewRomanPSMT" w:cs="LQCHC+TimesNewRomanPSMT"/>
          <w:color w:val="000000"/>
          <w:spacing w:val="-2"/>
          <w:sz w:val="28"/>
          <w:szCs w:val="28"/>
        </w:rPr>
        <w:t xml:space="preserve"> 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предо</w:t>
      </w:r>
      <w:r>
        <w:rPr>
          <w:rFonts w:ascii="LQCHC+TimesNewRomanPSMT" w:eastAsia="LQCHC+TimesNewRomanPSMT" w:hAnsi="LQCHC+TimesNewRomanPSMT" w:cs="LQCHC+TimesNewRomanPSMT"/>
          <w:color w:val="000000"/>
          <w:spacing w:val="-1"/>
          <w:sz w:val="28"/>
          <w:szCs w:val="28"/>
        </w:rPr>
        <w:t>х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ра</w:t>
      </w:r>
      <w:r>
        <w:rPr>
          <w:rFonts w:ascii="LQCHC+TimesNewRomanPSMT" w:eastAsia="LQCHC+TimesNewRomanPSMT" w:hAnsi="LQCHC+TimesNewRomanPSMT" w:cs="LQCHC+TimesNewRomanPSMT"/>
          <w:color w:val="000000"/>
          <w:spacing w:val="-1"/>
          <w:sz w:val="28"/>
          <w:szCs w:val="28"/>
        </w:rPr>
        <w:t>н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ите</w:t>
      </w:r>
      <w:r>
        <w:rPr>
          <w:rFonts w:ascii="LQCHC+TimesNewRomanPSMT" w:eastAsia="LQCHC+TimesNewRomanPSMT" w:hAnsi="LQCHC+TimesNewRomanPSMT" w:cs="LQCHC+TimesNewRomanPSMT"/>
          <w:color w:val="000000"/>
          <w:spacing w:val="-1"/>
          <w:sz w:val="28"/>
          <w:szCs w:val="28"/>
        </w:rPr>
        <w:t>л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ьно</w:t>
      </w:r>
      <w:r>
        <w:rPr>
          <w:rFonts w:ascii="LQCHC+TimesNewRomanPSMT" w:eastAsia="LQCHC+TimesNewRomanPSMT" w:hAnsi="LQCHC+TimesNewRomanPSMT" w:cs="LQCHC+TimesNewRomanPSMT"/>
          <w:color w:val="000000"/>
          <w:spacing w:val="-2"/>
          <w:sz w:val="28"/>
          <w:szCs w:val="28"/>
        </w:rPr>
        <w:t>г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о</w:t>
      </w:r>
      <w:r>
        <w:rPr>
          <w:rFonts w:ascii="LQCHC+TimesNewRomanPSMT" w:eastAsia="LQCHC+TimesNewRomanPSMT" w:hAnsi="LQCHC+TimesNewRomanPSMT" w:cs="LQCHC+TimesNewRomanPSMT"/>
          <w:color w:val="000000"/>
          <w:spacing w:val="1"/>
          <w:sz w:val="28"/>
          <w:szCs w:val="28"/>
        </w:rPr>
        <w:t xml:space="preserve"> 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кл</w:t>
      </w:r>
      <w:r>
        <w:rPr>
          <w:rFonts w:ascii="LQCHC+TimesNewRomanPSMT" w:eastAsia="LQCHC+TimesNewRomanPSMT" w:hAnsi="LQCHC+TimesNewRomanPSMT" w:cs="LQCHC+TimesNewRomanPSMT"/>
          <w:color w:val="000000"/>
          <w:spacing w:val="-2"/>
          <w:sz w:val="28"/>
          <w:szCs w:val="28"/>
        </w:rPr>
        <w:t>а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п</w:t>
      </w:r>
      <w:r>
        <w:rPr>
          <w:rFonts w:ascii="LQCHC+TimesNewRomanPSMT" w:eastAsia="LQCHC+TimesNewRomanPSMT" w:hAnsi="LQCHC+TimesNewRomanPSMT" w:cs="LQCHC+TimesNewRomanPSMT"/>
          <w:color w:val="000000"/>
          <w:spacing w:val="-1"/>
          <w:sz w:val="28"/>
          <w:szCs w:val="28"/>
        </w:rPr>
        <w:t>а</w:t>
      </w:r>
      <w:r>
        <w:rPr>
          <w:rFonts w:ascii="LQCHC+TimesNewRomanPSMT" w:eastAsia="LQCHC+TimesNewRomanPSMT" w:hAnsi="LQCHC+TimesNewRomanPSMT" w:cs="LQCHC+TimesNewRomanPSMT"/>
          <w:color w:val="000000"/>
          <w:sz w:val="28"/>
          <w:szCs w:val="28"/>
        </w:rPr>
        <w:t>на</w:t>
      </w:r>
    </w:p>
    <w:p w14:paraId="1EB8CA72" w14:textId="77777777" w:rsidR="005B5682" w:rsidRDefault="005B5682" w:rsidP="005B5682">
      <w:pPr>
        <w:spacing w:line="360" w:lineRule="auto"/>
        <w:jc w:val="center"/>
        <w:rPr>
          <w:sz w:val="28"/>
        </w:rPr>
      </w:pPr>
      <w:r>
        <w:rPr>
          <w:sz w:val="28"/>
        </w:rPr>
        <w:t>»</w:t>
      </w:r>
    </w:p>
    <w:p w14:paraId="323B29B1" w14:textId="77777777" w:rsidR="005B5682" w:rsidRDefault="005B5682" w:rsidP="005B5682">
      <w:pPr>
        <w:spacing w:line="360" w:lineRule="auto"/>
        <w:jc w:val="center"/>
        <w:rPr>
          <w:sz w:val="28"/>
        </w:rPr>
      </w:pPr>
      <w:r>
        <w:rPr>
          <w:sz w:val="28"/>
        </w:rPr>
        <w:t>Вариант 14</w:t>
      </w:r>
    </w:p>
    <w:p w14:paraId="22BB4092" w14:textId="77777777" w:rsidR="005B5682" w:rsidRDefault="005B5682" w:rsidP="005B5682">
      <w:pPr>
        <w:rPr>
          <w:sz w:val="30"/>
        </w:rPr>
      </w:pPr>
    </w:p>
    <w:p w14:paraId="04A8EFA5" w14:textId="77777777" w:rsidR="005B5682" w:rsidRDefault="005B5682" w:rsidP="005B5682">
      <w:pPr>
        <w:rPr>
          <w:sz w:val="30"/>
        </w:rPr>
      </w:pPr>
    </w:p>
    <w:p w14:paraId="5FFE2ECF" w14:textId="77777777" w:rsidR="005B5682" w:rsidRDefault="005B5682" w:rsidP="005B5682">
      <w:pPr>
        <w:rPr>
          <w:sz w:val="30"/>
        </w:rPr>
      </w:pPr>
    </w:p>
    <w:p w14:paraId="355698EF" w14:textId="77777777" w:rsidR="005B5682" w:rsidRPr="007B2447" w:rsidRDefault="005B5682" w:rsidP="005B5682">
      <w:pPr>
        <w:spacing w:after="0"/>
        <w:rPr>
          <w:sz w:val="28"/>
          <w:szCs w:val="28"/>
        </w:rPr>
      </w:pPr>
      <w:r w:rsidRPr="007B2447">
        <w:rPr>
          <w:sz w:val="28"/>
          <w:szCs w:val="28"/>
        </w:rPr>
        <w:t xml:space="preserve">Студент группы 9ОНб3а-1                         </w:t>
      </w:r>
      <w:r>
        <w:rPr>
          <w:sz w:val="28"/>
          <w:szCs w:val="28"/>
        </w:rPr>
        <w:t xml:space="preserve">              </w:t>
      </w:r>
      <w:r w:rsidRPr="007B2447">
        <w:rPr>
          <w:sz w:val="28"/>
          <w:szCs w:val="28"/>
        </w:rPr>
        <w:t xml:space="preserve">                      Шевчук К.О</w:t>
      </w:r>
      <w:r w:rsidRPr="007B2447">
        <w:rPr>
          <w:sz w:val="28"/>
          <w:szCs w:val="28"/>
        </w:rPr>
        <w:tab/>
      </w:r>
    </w:p>
    <w:p w14:paraId="5635EB94" w14:textId="77777777" w:rsidR="005B5682" w:rsidRPr="007B2447" w:rsidRDefault="005B5682" w:rsidP="005B5682">
      <w:pPr>
        <w:spacing w:after="0"/>
        <w:rPr>
          <w:sz w:val="28"/>
          <w:szCs w:val="28"/>
        </w:rPr>
      </w:pPr>
    </w:p>
    <w:p w14:paraId="6D9B760A" w14:textId="77777777" w:rsidR="005B5682" w:rsidRPr="007B2447" w:rsidRDefault="005B5682" w:rsidP="005B5682">
      <w:pPr>
        <w:spacing w:after="0"/>
        <w:rPr>
          <w:b/>
          <w:sz w:val="28"/>
          <w:szCs w:val="28"/>
        </w:rPr>
      </w:pPr>
      <w:r w:rsidRPr="007B2447">
        <w:rPr>
          <w:sz w:val="28"/>
          <w:szCs w:val="28"/>
        </w:rPr>
        <w:t xml:space="preserve">Преподаватель                                          </w:t>
      </w:r>
      <w:r>
        <w:rPr>
          <w:sz w:val="28"/>
          <w:szCs w:val="28"/>
        </w:rPr>
        <w:t xml:space="preserve">             </w:t>
      </w:r>
      <w:r w:rsidRPr="007B2447">
        <w:rPr>
          <w:sz w:val="28"/>
          <w:szCs w:val="28"/>
        </w:rPr>
        <w:t xml:space="preserve">                         </w:t>
      </w:r>
      <w:proofErr w:type="spellStart"/>
      <w:r w:rsidRPr="007B2447">
        <w:rPr>
          <w:sz w:val="28"/>
          <w:szCs w:val="28"/>
        </w:rPr>
        <w:t>Козлита</w:t>
      </w:r>
      <w:proofErr w:type="spellEnd"/>
      <w:r w:rsidRPr="007B2447">
        <w:rPr>
          <w:spacing w:val="-1"/>
          <w:sz w:val="28"/>
          <w:szCs w:val="28"/>
        </w:rPr>
        <w:t xml:space="preserve"> </w:t>
      </w:r>
      <w:r w:rsidRPr="007B2447">
        <w:rPr>
          <w:sz w:val="28"/>
          <w:szCs w:val="28"/>
        </w:rPr>
        <w:t>А.Н</w:t>
      </w:r>
    </w:p>
    <w:p w14:paraId="000C3F58" w14:textId="77777777" w:rsidR="005B5682" w:rsidRDefault="005B5682" w:rsidP="005B5682">
      <w:pPr>
        <w:widowControl w:val="0"/>
        <w:rPr>
          <w:b/>
          <w:sz w:val="28"/>
        </w:rPr>
      </w:pPr>
    </w:p>
    <w:p w14:paraId="70E6C10C" w14:textId="77777777" w:rsidR="005B5682" w:rsidRDefault="005B5682" w:rsidP="005B5682">
      <w:pPr>
        <w:widowControl w:val="0"/>
        <w:rPr>
          <w:b/>
          <w:sz w:val="28"/>
        </w:rPr>
      </w:pPr>
    </w:p>
    <w:p w14:paraId="5F88DE66" w14:textId="77777777" w:rsidR="005B5682" w:rsidRDefault="005B5682" w:rsidP="005B5682">
      <w:pPr>
        <w:widowControl w:val="0"/>
        <w:rPr>
          <w:b/>
          <w:sz w:val="28"/>
        </w:rPr>
      </w:pPr>
    </w:p>
    <w:p w14:paraId="20C8CC0B" w14:textId="77777777" w:rsidR="005B5682" w:rsidRDefault="005B5682" w:rsidP="005B5682">
      <w:pPr>
        <w:widowControl w:val="0"/>
        <w:jc w:val="center"/>
        <w:rPr>
          <w:b/>
          <w:sz w:val="28"/>
          <w:szCs w:val="28"/>
        </w:rPr>
      </w:pPr>
      <w:r>
        <w:rPr>
          <w:sz w:val="24"/>
          <w:szCs w:val="24"/>
        </w:rPr>
        <w:t>2022</w:t>
      </w:r>
    </w:p>
    <w:p w14:paraId="5248856E" w14:textId="77777777" w:rsidR="008C6621" w:rsidRPr="003B55AD" w:rsidRDefault="00E34621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B55AD">
        <w:rPr>
          <w:rFonts w:ascii="Times New Roman" w:hAnsi="Times New Roman" w:cs="Times New Roman"/>
          <w:b/>
          <w:sz w:val="24"/>
          <w:szCs w:val="24"/>
        </w:rPr>
        <w:lastRenderedPageBreak/>
        <w:t>Исходные данные для расчета предохранительных устройств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7"/>
        <w:gridCol w:w="1545"/>
        <w:gridCol w:w="1684"/>
        <w:gridCol w:w="3124"/>
        <w:gridCol w:w="1475"/>
      </w:tblGrid>
      <w:tr w:rsidR="003B55AD" w:rsidRPr="003B55AD" w14:paraId="7079B1F5" w14:textId="77777777" w:rsidTr="00865692">
        <w:tc>
          <w:tcPr>
            <w:tcW w:w="1568" w:type="dxa"/>
          </w:tcPr>
          <w:p w14:paraId="4333B915" w14:textId="77777777" w:rsidR="00E34621" w:rsidRPr="003B55AD" w:rsidRDefault="00E34621" w:rsidP="00415D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55AD">
              <w:rPr>
                <w:rFonts w:ascii="Times New Roman" w:hAnsi="Times New Roman" w:cs="Times New Roman"/>
                <w:sz w:val="24"/>
                <w:szCs w:val="24"/>
              </w:rPr>
              <w:t xml:space="preserve">№ варианта </w:t>
            </w:r>
          </w:p>
        </w:tc>
        <w:tc>
          <w:tcPr>
            <w:tcW w:w="1591" w:type="dxa"/>
          </w:tcPr>
          <w:p w14:paraId="32503897" w14:textId="77777777" w:rsidR="00E34621" w:rsidRPr="003B55AD" w:rsidRDefault="00E34621" w:rsidP="00415D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55AD">
              <w:rPr>
                <w:rFonts w:ascii="Times New Roman" w:hAnsi="Times New Roman" w:cs="Times New Roman"/>
                <w:sz w:val="24"/>
                <w:szCs w:val="24"/>
              </w:rPr>
              <w:t xml:space="preserve">Давление в </w:t>
            </w:r>
            <w:proofErr w:type="gramStart"/>
            <w:r w:rsidRPr="003B55AD">
              <w:rPr>
                <w:rFonts w:ascii="Times New Roman" w:hAnsi="Times New Roman" w:cs="Times New Roman"/>
                <w:sz w:val="24"/>
                <w:szCs w:val="24"/>
              </w:rPr>
              <w:t>аппарате ,</w:t>
            </w:r>
            <w:proofErr w:type="gramEnd"/>
            <w:r w:rsidRPr="003B55AD">
              <w:rPr>
                <w:rFonts w:ascii="Times New Roman" w:hAnsi="Times New Roman" w:cs="Times New Roman"/>
                <w:sz w:val="24"/>
                <w:szCs w:val="24"/>
              </w:rPr>
              <w:t xml:space="preserve"> МПа </w:t>
            </w:r>
          </w:p>
        </w:tc>
        <w:tc>
          <w:tcPr>
            <w:tcW w:w="1703" w:type="dxa"/>
          </w:tcPr>
          <w:p w14:paraId="4A97CA27" w14:textId="77777777" w:rsidR="00E34621" w:rsidRPr="003B55AD" w:rsidRDefault="00E34621" w:rsidP="00415D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55AD">
              <w:rPr>
                <w:rFonts w:ascii="Times New Roman" w:hAnsi="Times New Roman" w:cs="Times New Roman"/>
                <w:sz w:val="24"/>
                <w:szCs w:val="24"/>
              </w:rPr>
              <w:t>Температура ,</w:t>
            </w:r>
            <w:proofErr w:type="gramEnd"/>
            <w:r w:rsidRPr="003B55AD">
              <w:rPr>
                <w:rFonts w:ascii="Times New Roman" w:hAnsi="Times New Roman" w:cs="Times New Roman"/>
                <w:sz w:val="24"/>
                <w:szCs w:val="24"/>
              </w:rPr>
              <w:t xml:space="preserve"> °С </w:t>
            </w:r>
          </w:p>
        </w:tc>
        <w:tc>
          <w:tcPr>
            <w:tcW w:w="2951" w:type="dxa"/>
          </w:tcPr>
          <w:p w14:paraId="3C331714" w14:textId="77777777" w:rsidR="00E34621" w:rsidRPr="003B55AD" w:rsidRDefault="00E34621" w:rsidP="00415D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55AD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  <w:r w:rsidR="00865692" w:rsidRPr="003B55AD">
              <w:rPr>
                <w:rFonts w:ascii="Times New Roman" w:hAnsi="Times New Roman" w:cs="Times New Roman"/>
                <w:sz w:val="24"/>
                <w:szCs w:val="24"/>
              </w:rPr>
              <w:t>альная производительность/расхо</w:t>
            </w:r>
            <w:r w:rsidRPr="003B55AD">
              <w:rPr>
                <w:rFonts w:ascii="Times New Roman" w:hAnsi="Times New Roman" w:cs="Times New Roman"/>
                <w:sz w:val="24"/>
                <w:szCs w:val="24"/>
              </w:rPr>
              <w:t xml:space="preserve">д, кг/час </w:t>
            </w:r>
          </w:p>
        </w:tc>
        <w:tc>
          <w:tcPr>
            <w:tcW w:w="1532" w:type="dxa"/>
          </w:tcPr>
          <w:p w14:paraId="0F093D19" w14:textId="77777777" w:rsidR="00E34621" w:rsidRPr="003B55AD" w:rsidRDefault="00865692" w:rsidP="00415D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55AD">
              <w:rPr>
                <w:rFonts w:ascii="Times New Roman" w:hAnsi="Times New Roman" w:cs="Times New Roman"/>
                <w:sz w:val="24"/>
                <w:szCs w:val="24"/>
              </w:rPr>
              <w:t>Рабочая сред</w:t>
            </w:r>
          </w:p>
        </w:tc>
      </w:tr>
      <w:tr w:rsidR="003B55AD" w:rsidRPr="003B55AD" w14:paraId="033FAEC4" w14:textId="77777777" w:rsidTr="00865692">
        <w:tc>
          <w:tcPr>
            <w:tcW w:w="1568" w:type="dxa"/>
          </w:tcPr>
          <w:p w14:paraId="07AD07F5" w14:textId="77777777" w:rsidR="00865692" w:rsidRPr="003B55AD" w:rsidRDefault="00865692" w:rsidP="00415D42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5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591" w:type="dxa"/>
          </w:tcPr>
          <w:p w14:paraId="1416F08A" w14:textId="77777777" w:rsidR="00865692" w:rsidRPr="003B55AD" w:rsidRDefault="00865692" w:rsidP="00415D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55A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3" w:type="dxa"/>
          </w:tcPr>
          <w:p w14:paraId="4F1689E4" w14:textId="77777777" w:rsidR="00865692" w:rsidRPr="003B55AD" w:rsidRDefault="00865692" w:rsidP="00415D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55A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951" w:type="dxa"/>
          </w:tcPr>
          <w:p w14:paraId="2EB4CCAA" w14:textId="77777777" w:rsidR="00865692" w:rsidRPr="003B55AD" w:rsidRDefault="00865692" w:rsidP="00415D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55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2" w:type="dxa"/>
          </w:tcPr>
          <w:p w14:paraId="691C719E" w14:textId="77777777" w:rsidR="00865692" w:rsidRPr="003B55AD" w:rsidRDefault="00865692" w:rsidP="00415D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5AD">
              <w:rPr>
                <w:rFonts w:ascii="Times New Roman" w:hAnsi="Times New Roman" w:cs="Times New Roman"/>
                <w:sz w:val="24"/>
                <w:szCs w:val="24"/>
              </w:rPr>
              <w:t>Диз</w:t>
            </w:r>
            <w:proofErr w:type="spellEnd"/>
            <w:r w:rsidRPr="003B55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B55AD">
              <w:rPr>
                <w:rFonts w:ascii="Times New Roman" w:hAnsi="Times New Roman" w:cs="Times New Roman"/>
                <w:sz w:val="24"/>
                <w:szCs w:val="24"/>
              </w:rPr>
              <w:t>топл</w:t>
            </w:r>
            <w:proofErr w:type="spellEnd"/>
          </w:p>
        </w:tc>
      </w:tr>
    </w:tbl>
    <w:p w14:paraId="3D204C0D" w14:textId="77777777" w:rsidR="00865692" w:rsidRPr="003B55AD" w:rsidRDefault="00865692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1B126711" w14:textId="77777777" w:rsidR="00865692" w:rsidRPr="003B55AD" w:rsidRDefault="00865692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10381684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08C793" w14:textId="77777777" w:rsidR="004E0539" w:rsidRPr="00A05E2D" w:rsidRDefault="00A05E2D" w:rsidP="00A05E2D">
          <w:pPr>
            <w:pStyle w:val="a5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A05E2D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Содержание:</w:t>
          </w:r>
        </w:p>
        <w:p w14:paraId="67DD286B" w14:textId="7FC73319" w:rsidR="00A05E2D" w:rsidRPr="00A05E2D" w:rsidRDefault="004E053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05E2D">
            <w:rPr>
              <w:rFonts w:ascii="Times New Roman" w:hAnsi="Times New Roman" w:cs="Times New Roman"/>
              <w:bCs/>
              <w:sz w:val="24"/>
              <w:szCs w:val="24"/>
            </w:rPr>
            <w:fldChar w:fldCharType="begin"/>
          </w:r>
          <w:r w:rsidRPr="00A05E2D">
            <w:rPr>
              <w:rFonts w:ascii="Times New Roman" w:hAnsi="Times New Roman" w:cs="Times New Roman"/>
              <w:bCs/>
              <w:sz w:val="24"/>
              <w:szCs w:val="24"/>
            </w:rPr>
            <w:instrText xml:space="preserve"> TOC \o "1-3" \h \z \u </w:instrText>
          </w:r>
          <w:r w:rsidRPr="00A05E2D">
            <w:rPr>
              <w:rFonts w:ascii="Times New Roman" w:hAnsi="Times New Roman" w:cs="Times New Roman"/>
              <w:bCs/>
              <w:sz w:val="24"/>
              <w:szCs w:val="24"/>
            </w:rPr>
            <w:fldChar w:fldCharType="separate"/>
          </w:r>
          <w:hyperlink w:anchor="_Toc113988930" w:history="1">
            <w:r w:rsidR="00A05E2D" w:rsidRPr="00A05E2D">
              <w:rPr>
                <w:rStyle w:val="a6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Введение</w:t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_Toc113988930 \h </w:instrText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D2F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A647ECB" w14:textId="285D6614" w:rsidR="00A05E2D" w:rsidRPr="00A05E2D" w:rsidRDefault="004D2F2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13988931" w:history="1">
            <w:r w:rsidR="00A05E2D" w:rsidRPr="00A05E2D">
              <w:rPr>
                <w:rStyle w:val="a6"/>
                <w:rFonts w:ascii="Times New Roman" w:hAnsi="Times New Roman" w:cs="Times New Roman"/>
                <w:noProof/>
                <w:sz w:val="24"/>
                <w:szCs w:val="24"/>
              </w:rPr>
              <w:t>Расчетная часть</w:t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_Toc113988931 \h </w:instrText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60F721" w14:textId="06C06A1C" w:rsidR="00A05E2D" w:rsidRPr="00A05E2D" w:rsidRDefault="004D2F2C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13988932" w:history="1">
            <w:r w:rsidR="00A05E2D" w:rsidRPr="00A05E2D">
              <w:rPr>
                <w:rStyle w:val="a6"/>
                <w:rFonts w:ascii="Times New Roman" w:hAnsi="Times New Roman" w:cs="Times New Roman"/>
                <w:noProof/>
                <w:sz w:val="24"/>
                <w:szCs w:val="24"/>
              </w:rPr>
              <w:t>Список использованных источников :</w:t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_Toc113988932 \h </w:instrText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A05E2D" w:rsidRPr="00A05E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F58E78" w14:textId="77777777" w:rsidR="004E0539" w:rsidRPr="003B55AD" w:rsidRDefault="004E0539">
          <w:pPr>
            <w:rPr>
              <w:rFonts w:ascii="Times New Roman" w:hAnsi="Times New Roman" w:cs="Times New Roman"/>
              <w:sz w:val="24"/>
              <w:szCs w:val="24"/>
            </w:rPr>
          </w:pPr>
          <w:r w:rsidRPr="00A05E2D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14:paraId="0D677793" w14:textId="77777777" w:rsidR="004E0539" w:rsidRPr="003B55AD" w:rsidRDefault="004E05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5A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562FE0B" w14:textId="77777777" w:rsidR="00415D42" w:rsidRPr="00A05E2D" w:rsidRDefault="00415D42" w:rsidP="00A05E2D">
      <w:pPr>
        <w:pStyle w:val="1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1" w:name="_Toc113988930"/>
      <w:r w:rsidRPr="00A05E2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>Введение</w:t>
      </w:r>
      <w:bookmarkEnd w:id="1"/>
    </w:p>
    <w:p w14:paraId="51B8DC50" w14:textId="77777777" w:rsidR="00865692" w:rsidRPr="00865692" w:rsidRDefault="00865692" w:rsidP="00415D42">
      <w:pPr>
        <w:shd w:val="clear" w:color="auto" w:fill="FFFFFF"/>
        <w:spacing w:after="100" w:afterAutospacing="1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Предохранительный клапан</w:t>
      </w:r>
      <w:r w:rsidRPr="00865692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вид арматуры, который предназначен для автоматической защиты трубопроводов и оборудования от превышения давления сверх определенной, заранее установленной величины, путем сброса избыточной массы рабочей среды. Клапан также обеспечивает остановку сброса при восстановлении нормального рабочего давления. Предохранительный клапан — это арматура прямого действия, работающая непосредственно от энергии рабочей среды.</w:t>
      </w:r>
    </w:p>
    <w:p w14:paraId="3BE8CD9E" w14:textId="77777777" w:rsidR="00865692" w:rsidRPr="003B55AD" w:rsidRDefault="00865692" w:rsidP="004E0539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B55AD">
        <w:rPr>
          <w:rFonts w:ascii="Times New Roman" w:hAnsi="Times New Roman" w:cs="Times New Roman"/>
          <w:b/>
          <w:sz w:val="24"/>
          <w:szCs w:val="24"/>
          <w:lang w:eastAsia="ru-RU"/>
        </w:rPr>
        <w:t>Принцип работы предохранительного клапана</w:t>
      </w:r>
    </w:p>
    <w:p w14:paraId="6D24F718" w14:textId="77777777" w:rsidR="00865692" w:rsidRPr="00865692" w:rsidRDefault="00865692" w:rsidP="00415D42">
      <w:pPr>
        <w:shd w:val="clear" w:color="auto" w:fill="FFFFFF"/>
        <w:spacing w:after="100" w:afterAutospacing="1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6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клапан предохранительный находится в закрытом состоянии, на чувствительный элемент арматуры воздействует сила от рабочего давления в трубопроводе, которая стремится открыть клапан, а также препятствующая открытию сила от задатчика. В случае возникновения в системе возмущений, провоцирующих повышение давления среды свыше рабочего, сила прижатия золотника к седлу уменьшается. Когда ее величина равна нулю, наблюдается равновесие активных сил от задатчика и давления среды, одновременно воздействующих на клапан. Если давление в системе продолжает возрастать, запорный орган открывается и происходит сброс избытка среды через клапан. Уменьшение объема среды ведет к нормализации давления в системе и исчезновению возмущающих воздействий. Когда уровень давления опускается ниже предельно допустимого, запорный орган возвращается в исходное положение под воздействием силы от задатчика.</w:t>
      </w:r>
    </w:p>
    <w:p w14:paraId="3E28459C" w14:textId="77777777" w:rsidR="00865692" w:rsidRPr="003B55AD" w:rsidRDefault="00865692" w:rsidP="004E0539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B55AD">
        <w:rPr>
          <w:rFonts w:ascii="Times New Roman" w:hAnsi="Times New Roman" w:cs="Times New Roman"/>
          <w:b/>
          <w:sz w:val="24"/>
          <w:szCs w:val="24"/>
          <w:lang w:eastAsia="ru-RU"/>
        </w:rPr>
        <w:t>Предохранительные пружинные клапаны</w:t>
      </w:r>
    </w:p>
    <w:p w14:paraId="2A034F1C" w14:textId="77777777" w:rsidR="00865692" w:rsidRPr="00865692" w:rsidRDefault="00865692" w:rsidP="00415D42">
      <w:pPr>
        <w:shd w:val="clear" w:color="auto" w:fill="FFFFFF"/>
        <w:spacing w:after="100" w:afterAutospacing="1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таких предохранительных клапанах в качестве противодействия давлению рабочей среды на золотник используется сила сжатия пружины. За счет установки различных пружин один и тот же предохранительный пружинный клапан может использоваться для нескольких пределов настройки максимально допустимого давления. В пружинных клапанах отсутствует уплотнение по штоку. Если арматура устанавливается в системах с агрессивной рабочей средой, пружина изолируется с помощью сальниковых устройств, эластичной мембраны или сильфона. </w:t>
      </w:r>
      <w:proofErr w:type="spellStart"/>
      <w:r w:rsidRPr="0086569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Сильфонное</w:t>
      </w:r>
      <w:proofErr w:type="spellEnd"/>
      <w:r w:rsidRPr="0086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уплотнение используется в случаях, когда недопустима утечка рабочей среды из трубопровода.</w:t>
      </w:r>
    </w:p>
    <w:p w14:paraId="5BFEAC0D" w14:textId="77777777" w:rsidR="00E34621" w:rsidRPr="003B55AD" w:rsidRDefault="00DC2A81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На рис</w:t>
      </w:r>
      <w:r w:rsidR="004E0539" w:rsidRPr="003B55AD">
        <w:rPr>
          <w:rFonts w:ascii="Times New Roman" w:hAnsi="Times New Roman" w:cs="Times New Roman"/>
          <w:sz w:val="24"/>
          <w:szCs w:val="24"/>
        </w:rPr>
        <w:t xml:space="preserve">унке 1 </w:t>
      </w:r>
      <w:r w:rsidRPr="003B55AD">
        <w:rPr>
          <w:rFonts w:ascii="Times New Roman" w:hAnsi="Times New Roman" w:cs="Times New Roman"/>
          <w:sz w:val="24"/>
          <w:szCs w:val="24"/>
        </w:rPr>
        <w:t>представлено устройство наиболее широко используемых рычажно-грузовых и пружинных предохранительных клапанов.</w:t>
      </w:r>
    </w:p>
    <w:p w14:paraId="541B687B" w14:textId="77777777" w:rsidR="00DC2A81" w:rsidRPr="003B55AD" w:rsidRDefault="00DC2A81" w:rsidP="004E053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B4A528B" wp14:editId="1D4DA213">
            <wp:extent cx="2838343" cy="33909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7657" cy="3402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416E4" w14:textId="77777777" w:rsidR="00C2522F" w:rsidRPr="003B55AD" w:rsidRDefault="00DC2A81" w:rsidP="004E053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Рис</w:t>
      </w:r>
      <w:r w:rsidR="004E0539" w:rsidRPr="003B55AD">
        <w:rPr>
          <w:rFonts w:ascii="Times New Roman" w:hAnsi="Times New Roman" w:cs="Times New Roman"/>
          <w:sz w:val="24"/>
          <w:szCs w:val="24"/>
        </w:rPr>
        <w:t>унок 1-</w:t>
      </w:r>
      <w:r w:rsidRPr="003B55AD">
        <w:rPr>
          <w:rFonts w:ascii="Times New Roman" w:hAnsi="Times New Roman" w:cs="Times New Roman"/>
          <w:sz w:val="24"/>
          <w:szCs w:val="24"/>
        </w:rPr>
        <w:t>. Предохранительные клапаны: а – рычажный: 1 – корпус; 2 – седло; 3 – тарелка; 4 – шток; 5 – рычаг; 6 – кожух; 7 – груз; 8 – цепочка; 9 – запорное устройство; б – пружинный: 1 – корпус; 2 – тарелка; 3 – стопорный винт; 4 – пружина; 5 – рукоятка; 6 – кожух</w:t>
      </w:r>
    </w:p>
    <w:p w14:paraId="786F0B5B" w14:textId="77777777" w:rsidR="00C2522F" w:rsidRPr="003B55AD" w:rsidRDefault="00C2522F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br w:type="page"/>
      </w:r>
    </w:p>
    <w:p w14:paraId="57139CCA" w14:textId="77777777" w:rsidR="004E0539" w:rsidRPr="003B55AD" w:rsidRDefault="004E0539" w:rsidP="003B55AD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113988931"/>
      <w:r w:rsidRPr="003B55AD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Расчетная часть</w:t>
      </w:r>
      <w:bookmarkEnd w:id="2"/>
    </w:p>
    <w:p w14:paraId="2672DF9B" w14:textId="77777777" w:rsidR="00C2522F" w:rsidRPr="00A05E2D" w:rsidRDefault="00C2522F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A05E2D">
        <w:rPr>
          <w:rFonts w:ascii="Times New Roman" w:hAnsi="Times New Roman" w:cs="Times New Roman"/>
          <w:b/>
          <w:i/>
          <w:sz w:val="24"/>
          <w:szCs w:val="24"/>
        </w:rPr>
        <w:t xml:space="preserve">Порядок расчета </w:t>
      </w:r>
    </w:p>
    <w:p w14:paraId="1FF8F834" w14:textId="77777777" w:rsidR="00C2522F" w:rsidRPr="003B55AD" w:rsidRDefault="00C2522F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1. Выбрать тип предохранительного клапана в зависимости от технологических требований, расчетного давления, температуры и характеристики среды.</w:t>
      </w:r>
    </w:p>
    <w:p w14:paraId="2D56B3E4" w14:textId="77777777" w:rsidR="00C2522F" w:rsidRPr="003B55AD" w:rsidRDefault="00C2522F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 2. Определить высоту подъема клапана. </w:t>
      </w:r>
    </w:p>
    <w:p w14:paraId="723FF2DD" w14:textId="77777777" w:rsidR="00C2522F" w:rsidRPr="003B55AD" w:rsidRDefault="00C2522F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3. Рассчитать количество предохранительных клапанов. </w:t>
      </w:r>
    </w:p>
    <w:p w14:paraId="1A54FB9A" w14:textId="77777777" w:rsidR="00C2522F" w:rsidRPr="003B55AD" w:rsidRDefault="00C2522F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4. Определить пропускную способность клапана с учетом запаса в зависимости от избыточного рабочего давления. </w:t>
      </w:r>
    </w:p>
    <w:p w14:paraId="49450B67" w14:textId="77777777" w:rsidR="00F01A56" w:rsidRDefault="00F01A56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Характеристики рабочей среды:</w:t>
      </w:r>
    </w:p>
    <w:tbl>
      <w:tblPr>
        <w:tblStyle w:val="a3"/>
        <w:tblW w:w="9784" w:type="dxa"/>
        <w:jc w:val="center"/>
        <w:tblLook w:val="04A0" w:firstRow="1" w:lastRow="0" w:firstColumn="1" w:lastColumn="0" w:noHBand="0" w:noVBand="1"/>
      </w:tblPr>
      <w:tblGrid>
        <w:gridCol w:w="1779"/>
        <w:gridCol w:w="2634"/>
        <w:gridCol w:w="1527"/>
        <w:gridCol w:w="2291"/>
        <w:gridCol w:w="1553"/>
      </w:tblGrid>
      <w:tr w:rsidR="00862B99" w:rsidRPr="00862B99" w14:paraId="13E1543F" w14:textId="77777777" w:rsidTr="00862B99">
        <w:trPr>
          <w:trHeight w:val="594"/>
          <w:jc w:val="center"/>
        </w:trPr>
        <w:tc>
          <w:tcPr>
            <w:tcW w:w="1779" w:type="dxa"/>
            <w:vAlign w:val="center"/>
          </w:tcPr>
          <w:p w14:paraId="78D33AB1" w14:textId="77777777" w:rsidR="00862B99" w:rsidRPr="00862B99" w:rsidRDefault="00862B99" w:rsidP="00862B9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99">
              <w:rPr>
                <w:rFonts w:ascii="Times New Roman" w:hAnsi="Times New Roman" w:cs="Times New Roman"/>
                <w:sz w:val="24"/>
                <w:szCs w:val="24"/>
              </w:rPr>
              <w:t>Рабочая сред</w:t>
            </w:r>
          </w:p>
        </w:tc>
        <w:tc>
          <w:tcPr>
            <w:tcW w:w="2634" w:type="dxa"/>
            <w:vAlign w:val="center"/>
          </w:tcPr>
          <w:p w14:paraId="5A7F950E" w14:textId="77777777" w:rsidR="00862B99" w:rsidRPr="00862B99" w:rsidRDefault="00862B99" w:rsidP="00862B9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2B99">
              <w:rPr>
                <w:rFonts w:ascii="Times New Roman" w:hAnsi="Times New Roman" w:cs="Times New Roman"/>
                <w:sz w:val="24"/>
                <w:szCs w:val="24"/>
              </w:rPr>
              <w:t>Температура ,</w:t>
            </w:r>
            <w:proofErr w:type="gramEnd"/>
            <w:r w:rsidRPr="00862B99"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</w:p>
        </w:tc>
        <w:tc>
          <w:tcPr>
            <w:tcW w:w="1527" w:type="dxa"/>
            <w:vAlign w:val="center"/>
          </w:tcPr>
          <w:p w14:paraId="6B86248F" w14:textId="77777777" w:rsidR="00862B99" w:rsidRPr="00862B99" w:rsidRDefault="00862B99" w:rsidP="00862B9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9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291" w:type="dxa"/>
            <w:vAlign w:val="center"/>
          </w:tcPr>
          <w:p w14:paraId="14356010" w14:textId="77777777" w:rsidR="00862B99" w:rsidRPr="00862B99" w:rsidRDefault="00862B99" w:rsidP="00862B9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99">
              <w:rPr>
                <w:rFonts w:ascii="Times New Roman" w:hAnsi="Times New Roman" w:cs="Times New Roman"/>
                <w:sz w:val="24"/>
                <w:szCs w:val="24"/>
              </w:rPr>
              <w:t>Химическая формул</w:t>
            </w:r>
          </w:p>
        </w:tc>
        <w:tc>
          <w:tcPr>
            <w:tcW w:w="1553" w:type="dxa"/>
            <w:vAlign w:val="center"/>
          </w:tcPr>
          <w:p w14:paraId="5EB2FEAE" w14:textId="77777777" w:rsidR="00862B99" w:rsidRPr="00862B99" w:rsidRDefault="00862B99" w:rsidP="00862B9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9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862B99" w:rsidRPr="00862B99" w14:paraId="74F518F0" w14:textId="77777777" w:rsidTr="00862B99">
        <w:trPr>
          <w:trHeight w:val="408"/>
          <w:jc w:val="center"/>
        </w:trPr>
        <w:tc>
          <w:tcPr>
            <w:tcW w:w="1779" w:type="dxa"/>
            <w:vAlign w:val="center"/>
          </w:tcPr>
          <w:p w14:paraId="4669B21A" w14:textId="77777777" w:rsidR="00862B99" w:rsidRPr="00862B99" w:rsidRDefault="00862B99" w:rsidP="00862B9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B99">
              <w:rPr>
                <w:rFonts w:ascii="Times New Roman" w:hAnsi="Times New Roman" w:cs="Times New Roman"/>
                <w:sz w:val="24"/>
                <w:szCs w:val="24"/>
              </w:rPr>
              <w:t>Диз</w:t>
            </w:r>
            <w:proofErr w:type="spellEnd"/>
            <w:r w:rsidRPr="00862B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62B99">
              <w:rPr>
                <w:rFonts w:ascii="Times New Roman" w:hAnsi="Times New Roman" w:cs="Times New Roman"/>
                <w:sz w:val="24"/>
                <w:szCs w:val="24"/>
              </w:rPr>
              <w:t>топл</w:t>
            </w:r>
            <w:proofErr w:type="spellEnd"/>
          </w:p>
        </w:tc>
        <w:tc>
          <w:tcPr>
            <w:tcW w:w="2634" w:type="dxa"/>
            <w:vAlign w:val="center"/>
          </w:tcPr>
          <w:p w14:paraId="5FE278A5" w14:textId="77777777" w:rsidR="00862B99" w:rsidRPr="00862B99" w:rsidRDefault="00862B99" w:rsidP="00862B9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9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27" w:type="dxa"/>
            <w:vAlign w:val="center"/>
          </w:tcPr>
          <w:p w14:paraId="0E3B2CAF" w14:textId="77777777" w:rsidR="00862B99" w:rsidRPr="00862B99" w:rsidRDefault="00862B99" w:rsidP="00862B9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99">
              <w:rPr>
                <w:rFonts w:ascii="Times New Roman" w:hAnsi="Times New Roman" w:cs="Times New Roman"/>
                <w:sz w:val="24"/>
                <w:szCs w:val="24"/>
              </w:rPr>
              <w:t>ЛВЖ</w:t>
            </w:r>
          </w:p>
        </w:tc>
        <w:tc>
          <w:tcPr>
            <w:tcW w:w="2291" w:type="dxa"/>
            <w:vAlign w:val="center"/>
          </w:tcPr>
          <w:p w14:paraId="0F2DE7C8" w14:textId="77777777" w:rsidR="00862B99" w:rsidRPr="00862B99" w:rsidRDefault="00862B99" w:rsidP="00862B9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9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862B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14,511</w:t>
            </w:r>
            <w:r w:rsidRPr="00862B99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862B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29,12</w:t>
            </w:r>
          </w:p>
        </w:tc>
        <w:tc>
          <w:tcPr>
            <w:tcW w:w="1553" w:type="dxa"/>
            <w:vAlign w:val="center"/>
          </w:tcPr>
          <w:p w14:paraId="6F218B97" w14:textId="77777777" w:rsidR="00862B99" w:rsidRPr="00862B99" w:rsidRDefault="00862B99" w:rsidP="00862B9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99">
              <w:rPr>
                <w:rFonts w:ascii="Times New Roman" w:hAnsi="Times New Roman" w:cs="Times New Roman"/>
                <w:sz w:val="24"/>
                <w:szCs w:val="24"/>
              </w:rPr>
              <w:t>203,64</w:t>
            </w:r>
          </w:p>
        </w:tc>
      </w:tr>
    </w:tbl>
    <w:p w14:paraId="79CA9D67" w14:textId="77777777" w:rsidR="00F01A56" w:rsidRDefault="00F01A56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6D05801C" w14:textId="77777777" w:rsidR="00ED7FC6" w:rsidRPr="00ED7FC6" w:rsidRDefault="00ED7FC6" w:rsidP="00ED7FC6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D7FC6">
        <w:rPr>
          <w:rFonts w:ascii="Times New Roman" w:hAnsi="Times New Roman" w:cs="Times New Roman"/>
          <w:sz w:val="24"/>
          <w:szCs w:val="24"/>
        </w:rPr>
        <w:t xml:space="preserve">Дизельное топливо (ДТ) представляет собой жидкий продукт, который используется как топливо в дизельных двигателях внутреннего сгорания и в </w:t>
      </w:r>
      <w:proofErr w:type="spellStart"/>
      <w:r w:rsidRPr="00ED7FC6">
        <w:rPr>
          <w:rFonts w:ascii="Times New Roman" w:hAnsi="Times New Roman" w:cs="Times New Roman"/>
          <w:sz w:val="24"/>
          <w:szCs w:val="24"/>
        </w:rPr>
        <w:t>газодизелях</w:t>
      </w:r>
      <w:proofErr w:type="spellEnd"/>
      <w:r w:rsidRPr="00ED7FC6">
        <w:rPr>
          <w:rFonts w:ascii="Times New Roman" w:hAnsi="Times New Roman" w:cs="Times New Roman"/>
          <w:sz w:val="24"/>
          <w:szCs w:val="24"/>
        </w:rPr>
        <w:t>. Дизельное топливо определяют также как топливо, получающееся из керосиново-</w:t>
      </w:r>
      <w:proofErr w:type="spellStart"/>
      <w:r w:rsidRPr="00ED7FC6">
        <w:rPr>
          <w:rFonts w:ascii="Times New Roman" w:hAnsi="Times New Roman" w:cs="Times New Roman"/>
          <w:sz w:val="24"/>
          <w:szCs w:val="24"/>
        </w:rPr>
        <w:t>газойлевых</w:t>
      </w:r>
      <w:proofErr w:type="spellEnd"/>
      <w:r w:rsidRPr="00ED7FC6">
        <w:rPr>
          <w:rFonts w:ascii="Times New Roman" w:hAnsi="Times New Roman" w:cs="Times New Roman"/>
          <w:sz w:val="24"/>
          <w:szCs w:val="24"/>
        </w:rPr>
        <w:t xml:space="preserve"> фракций прямой перегонки нефти.</w:t>
      </w:r>
    </w:p>
    <w:p w14:paraId="0710B094" w14:textId="77777777" w:rsidR="00ED7FC6" w:rsidRDefault="00ED7FC6" w:rsidP="00ED7FC6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D7FC6">
        <w:rPr>
          <w:rFonts w:ascii="Times New Roman" w:hAnsi="Times New Roman" w:cs="Times New Roman"/>
          <w:sz w:val="24"/>
          <w:szCs w:val="24"/>
        </w:rPr>
        <w:t xml:space="preserve">Различают зимнее (ДТЗ) и летнее дизтопливо (ДТЛ), основное отличие которых состоит в температуре предельной </w:t>
      </w:r>
      <w:proofErr w:type="spellStart"/>
      <w:r w:rsidRPr="00ED7FC6">
        <w:rPr>
          <w:rFonts w:ascii="Times New Roman" w:hAnsi="Times New Roman" w:cs="Times New Roman"/>
          <w:sz w:val="24"/>
          <w:szCs w:val="24"/>
        </w:rPr>
        <w:t>фильтруемости</w:t>
      </w:r>
      <w:proofErr w:type="spellEnd"/>
      <w:r w:rsidRPr="00ED7FC6">
        <w:rPr>
          <w:rFonts w:ascii="Times New Roman" w:hAnsi="Times New Roman" w:cs="Times New Roman"/>
          <w:sz w:val="24"/>
          <w:szCs w:val="24"/>
        </w:rPr>
        <w:t xml:space="preserve"> и температурах помутнения и застывания: ASTM D 6371, ASTM D97 и ASTM D2500 соответственно. Дизельное топливо подразделятся на сорта, классы и виды. Сорт или класс указывается в зависимости от значений предельной температуры </w:t>
      </w:r>
      <w:proofErr w:type="spellStart"/>
      <w:r w:rsidRPr="00ED7FC6">
        <w:rPr>
          <w:rFonts w:ascii="Times New Roman" w:hAnsi="Times New Roman" w:cs="Times New Roman"/>
          <w:sz w:val="24"/>
          <w:szCs w:val="24"/>
        </w:rPr>
        <w:t>фильтруемости</w:t>
      </w:r>
      <w:proofErr w:type="spellEnd"/>
      <w:r w:rsidRPr="00ED7FC6">
        <w:rPr>
          <w:rFonts w:ascii="Times New Roman" w:hAnsi="Times New Roman" w:cs="Times New Roman"/>
          <w:sz w:val="24"/>
          <w:szCs w:val="24"/>
        </w:rPr>
        <w:t xml:space="preserve"> (для класса и температуры помутнения) и вид топлива в зависимости от содержания серы.</w:t>
      </w:r>
    </w:p>
    <w:p w14:paraId="2652E1BA" w14:textId="77777777" w:rsidR="005F72BC" w:rsidRPr="005F72BC" w:rsidRDefault="005F72BC" w:rsidP="00651D38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F72BC">
        <w:rPr>
          <w:rFonts w:ascii="Times New Roman" w:hAnsi="Times New Roman" w:cs="Times New Roman"/>
          <w:sz w:val="24"/>
          <w:szCs w:val="24"/>
        </w:rPr>
        <w:t>Содержание серы</w:t>
      </w:r>
      <w:r w:rsidR="00651D38">
        <w:rPr>
          <w:rFonts w:ascii="Times New Roman" w:hAnsi="Times New Roman" w:cs="Times New Roman"/>
          <w:sz w:val="24"/>
          <w:szCs w:val="24"/>
        </w:rPr>
        <w:t>, мг/кг, не более, для топлива:</w:t>
      </w:r>
    </w:p>
    <w:p w14:paraId="54AA6CBE" w14:textId="77777777" w:rsidR="005F72BC" w:rsidRPr="005F72BC" w:rsidRDefault="005F72BC" w:rsidP="005F72BC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F72BC">
        <w:rPr>
          <w:rFonts w:ascii="Times New Roman" w:hAnsi="Times New Roman" w:cs="Times New Roman"/>
          <w:sz w:val="24"/>
          <w:szCs w:val="24"/>
        </w:rPr>
        <w:t>вид I</w:t>
      </w:r>
      <w:r w:rsidRPr="005F72BC">
        <w:rPr>
          <w:rFonts w:ascii="Times New Roman" w:hAnsi="Times New Roman" w:cs="Times New Roman"/>
          <w:sz w:val="24"/>
          <w:szCs w:val="24"/>
        </w:rPr>
        <w:tab/>
        <w:t>350,0</w:t>
      </w:r>
    </w:p>
    <w:p w14:paraId="291A9C80" w14:textId="77777777" w:rsidR="005F72BC" w:rsidRPr="005F72BC" w:rsidRDefault="005F72BC" w:rsidP="005F72BC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F72BC">
        <w:rPr>
          <w:rFonts w:ascii="Times New Roman" w:hAnsi="Times New Roman" w:cs="Times New Roman"/>
          <w:sz w:val="24"/>
          <w:szCs w:val="24"/>
        </w:rPr>
        <w:t>вид II</w:t>
      </w:r>
      <w:r w:rsidRPr="005F72BC">
        <w:rPr>
          <w:rFonts w:ascii="Times New Roman" w:hAnsi="Times New Roman" w:cs="Times New Roman"/>
          <w:sz w:val="24"/>
          <w:szCs w:val="24"/>
        </w:rPr>
        <w:tab/>
        <w:t>50,0</w:t>
      </w:r>
    </w:p>
    <w:p w14:paraId="7CF2AE6B" w14:textId="77777777" w:rsidR="005F72BC" w:rsidRPr="005F72BC" w:rsidRDefault="005F72BC" w:rsidP="005F72BC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F72BC">
        <w:rPr>
          <w:rFonts w:ascii="Times New Roman" w:hAnsi="Times New Roman" w:cs="Times New Roman"/>
          <w:sz w:val="24"/>
          <w:szCs w:val="24"/>
        </w:rPr>
        <w:t>вид III</w:t>
      </w:r>
      <w:r w:rsidRPr="005F72BC">
        <w:rPr>
          <w:rFonts w:ascii="Times New Roman" w:hAnsi="Times New Roman" w:cs="Times New Roman"/>
          <w:sz w:val="24"/>
          <w:szCs w:val="24"/>
        </w:rPr>
        <w:tab/>
        <w:t>10,0</w:t>
      </w:r>
    </w:p>
    <w:p w14:paraId="051A297F" w14:textId="77777777" w:rsidR="005F72BC" w:rsidRPr="005F72BC" w:rsidRDefault="005F72BC" w:rsidP="00651D38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F72BC">
        <w:rPr>
          <w:rFonts w:ascii="Times New Roman" w:hAnsi="Times New Roman" w:cs="Times New Roman"/>
          <w:sz w:val="24"/>
          <w:szCs w:val="24"/>
        </w:rPr>
        <w:t>Введение ограничения на содержание серы в дизтопливе является необходимостью для повышения его безопасности</w:t>
      </w:r>
      <w:r w:rsidR="00651D38">
        <w:rPr>
          <w:rFonts w:ascii="Times New Roman" w:hAnsi="Times New Roman" w:cs="Times New Roman"/>
          <w:sz w:val="24"/>
          <w:szCs w:val="24"/>
        </w:rPr>
        <w:t xml:space="preserve"> для экологии окружающей среды.</w:t>
      </w:r>
    </w:p>
    <w:p w14:paraId="57B6B2E5" w14:textId="77777777" w:rsidR="005F72BC" w:rsidRPr="005F72BC" w:rsidRDefault="005F72BC" w:rsidP="005F72BC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F72BC">
        <w:rPr>
          <w:rFonts w:ascii="Times New Roman" w:hAnsi="Times New Roman" w:cs="Times New Roman"/>
          <w:sz w:val="24"/>
          <w:szCs w:val="24"/>
        </w:rPr>
        <w:t>Дизельное топливо вида III с содержанием серы не более 10 мг/кг в сопроводительных документах допускается обозначать как «не содержащее серы», оно является наиболее экологичным, но ввиду его более низких смазывающих свойств, используется с присадками.</w:t>
      </w:r>
    </w:p>
    <w:p w14:paraId="16F9D928" w14:textId="77777777" w:rsidR="005F72BC" w:rsidRPr="005F72BC" w:rsidRDefault="005F72BC" w:rsidP="005F72BC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F72BC">
        <w:rPr>
          <w:rFonts w:ascii="Times New Roman" w:hAnsi="Times New Roman" w:cs="Times New Roman"/>
          <w:sz w:val="24"/>
          <w:szCs w:val="24"/>
        </w:rPr>
        <w:t xml:space="preserve">Основной показатель топлива – это его способность к воспламенению в камере сгорания двигателя – определяется как </w:t>
      </w:r>
      <w:proofErr w:type="spellStart"/>
      <w:r w:rsidRPr="005F72BC">
        <w:rPr>
          <w:rFonts w:ascii="Times New Roman" w:hAnsi="Times New Roman" w:cs="Times New Roman"/>
          <w:sz w:val="24"/>
          <w:szCs w:val="24"/>
        </w:rPr>
        <w:t>Цетановое</w:t>
      </w:r>
      <w:proofErr w:type="spellEnd"/>
      <w:r w:rsidRPr="005F72BC">
        <w:rPr>
          <w:rFonts w:ascii="Times New Roman" w:hAnsi="Times New Roman" w:cs="Times New Roman"/>
          <w:sz w:val="24"/>
          <w:szCs w:val="24"/>
        </w:rPr>
        <w:t xml:space="preserve"> число. Показатели </w:t>
      </w:r>
      <w:proofErr w:type="spellStart"/>
      <w:r w:rsidRPr="005F72BC">
        <w:rPr>
          <w:rFonts w:ascii="Times New Roman" w:hAnsi="Times New Roman" w:cs="Times New Roman"/>
          <w:sz w:val="24"/>
          <w:szCs w:val="24"/>
        </w:rPr>
        <w:t>цетанового</w:t>
      </w:r>
      <w:proofErr w:type="spellEnd"/>
      <w:r w:rsidRPr="005F72BC">
        <w:rPr>
          <w:rFonts w:ascii="Times New Roman" w:hAnsi="Times New Roman" w:cs="Times New Roman"/>
          <w:sz w:val="24"/>
          <w:szCs w:val="24"/>
        </w:rPr>
        <w:t xml:space="preserve"> числа </w:t>
      </w:r>
      <w:r w:rsidRPr="005F72BC">
        <w:rPr>
          <w:rFonts w:ascii="Times New Roman" w:hAnsi="Times New Roman" w:cs="Times New Roman"/>
          <w:sz w:val="24"/>
          <w:szCs w:val="24"/>
        </w:rPr>
        <w:lastRenderedPageBreak/>
        <w:t>утверждены в требованиях к дизельному топливу в «ГОСТ Р 52368-2005 (ЕН 590:2004). Топливо дизельное ЕВРО. Технические условия».</w:t>
      </w:r>
    </w:p>
    <w:p w14:paraId="0A0C7E78" w14:textId="77777777" w:rsidR="005F72BC" w:rsidRDefault="005F72BC" w:rsidP="005F72BC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F72BC">
        <w:rPr>
          <w:rFonts w:ascii="Times New Roman" w:hAnsi="Times New Roman" w:cs="Times New Roman"/>
          <w:sz w:val="24"/>
          <w:szCs w:val="24"/>
        </w:rPr>
        <w:t>Основные потребители дизтоплива – это железнодорожный транспорт, грузовой автотранспорт, водный транспорт и сельскохозяйственная техника, легковой дизельный автотранспорт, а также ДТ используется как котельное топливо и т.д.</w:t>
      </w:r>
    </w:p>
    <w:p w14:paraId="1C5C7825" w14:textId="77777777" w:rsidR="003A7DCB" w:rsidRPr="003A7DCB" w:rsidRDefault="003A7DCB" w:rsidP="003A7DCB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A7DCB">
        <w:rPr>
          <w:rFonts w:ascii="Times New Roman" w:hAnsi="Times New Roman" w:cs="Times New Roman"/>
          <w:sz w:val="24"/>
          <w:szCs w:val="24"/>
        </w:rPr>
        <w:t>Дизельно</w:t>
      </w:r>
      <w:r>
        <w:rPr>
          <w:rFonts w:ascii="Times New Roman" w:hAnsi="Times New Roman" w:cs="Times New Roman"/>
          <w:sz w:val="24"/>
          <w:szCs w:val="24"/>
        </w:rPr>
        <w:t>е топливо — ядовитое вещество</w:t>
      </w:r>
      <w:r w:rsidRPr="003A7DCB">
        <w:rPr>
          <w:rFonts w:ascii="Times New Roman" w:hAnsi="Times New Roman" w:cs="Times New Roman"/>
          <w:sz w:val="24"/>
          <w:szCs w:val="24"/>
        </w:rPr>
        <w:t xml:space="preserve">. В больших концентрациях дизельное топливо обладает наркотическим и </w:t>
      </w:r>
      <w:proofErr w:type="spellStart"/>
      <w:r w:rsidRPr="003A7DCB">
        <w:rPr>
          <w:rFonts w:ascii="Times New Roman" w:hAnsi="Times New Roman" w:cs="Times New Roman"/>
          <w:sz w:val="24"/>
          <w:szCs w:val="24"/>
        </w:rPr>
        <w:t>общеядовитым</w:t>
      </w:r>
      <w:proofErr w:type="spellEnd"/>
      <w:r w:rsidRPr="003A7DCB">
        <w:rPr>
          <w:rFonts w:ascii="Times New Roman" w:hAnsi="Times New Roman" w:cs="Times New Roman"/>
          <w:sz w:val="24"/>
          <w:szCs w:val="24"/>
        </w:rPr>
        <w:t xml:space="preserve"> действием, проникает через неповреждённую кожу. Вызывает отравл</w:t>
      </w:r>
      <w:r>
        <w:rPr>
          <w:rFonts w:ascii="Times New Roman" w:hAnsi="Times New Roman" w:cs="Times New Roman"/>
          <w:sz w:val="24"/>
          <w:szCs w:val="24"/>
        </w:rPr>
        <w:t>ение при вдыхании паров и пыли.</w:t>
      </w:r>
    </w:p>
    <w:p w14:paraId="2279DFE9" w14:textId="77777777" w:rsidR="003A7DCB" w:rsidRPr="003A7DCB" w:rsidRDefault="003A7DCB" w:rsidP="003A7DCB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A7DCB">
        <w:rPr>
          <w:rFonts w:ascii="Times New Roman" w:hAnsi="Times New Roman" w:cs="Times New Roman"/>
          <w:sz w:val="24"/>
          <w:szCs w:val="24"/>
        </w:rPr>
        <w:t>Рекомендуемая ПДК в рабочей зоне составляет 300 мг/м³ (в пересчёте на углерод)</w:t>
      </w:r>
    </w:p>
    <w:p w14:paraId="388FB786" w14:textId="77777777" w:rsidR="00651D38" w:rsidRDefault="003A7DCB" w:rsidP="00651D38">
      <w:pPr>
        <w:spacing w:line="360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3A7DCB">
        <w:rPr>
          <w:rFonts w:ascii="Times New Roman" w:hAnsi="Times New Roman" w:cs="Times New Roman"/>
          <w:sz w:val="24"/>
          <w:szCs w:val="24"/>
        </w:rPr>
        <w:t>В соответствии с ГОСТом 12.1.007-76 дизельное топливо является токсичным малоопасным веществом по степени воздействия на человеческий организм, 4-ого класса опасности</w:t>
      </w:r>
      <w:r w:rsidR="00651D38" w:rsidRPr="00651D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C806D43" w14:textId="77777777" w:rsidR="00651D38" w:rsidRPr="003A7DCB" w:rsidRDefault="00651D38" w:rsidP="00651D38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A7DCB">
        <w:rPr>
          <w:rFonts w:ascii="Times New Roman" w:hAnsi="Times New Roman" w:cs="Times New Roman"/>
          <w:b/>
          <w:bCs/>
          <w:sz w:val="24"/>
          <w:szCs w:val="24"/>
        </w:rPr>
        <w:t>Характеристики дизельного топлива (ГОСТ 305–82)</w:t>
      </w:r>
    </w:p>
    <w:tbl>
      <w:tblPr>
        <w:tblW w:w="9687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1128"/>
        <w:gridCol w:w="1128"/>
        <w:gridCol w:w="1128"/>
      </w:tblGrid>
      <w:tr w:rsidR="00651D38" w:rsidRPr="00651D38" w14:paraId="70A5DD55" w14:textId="77777777" w:rsidTr="00651D38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5EC9E85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b/>
                <w:bCs/>
                <w:szCs w:val="24"/>
              </w:rPr>
              <w:t>Показатели</w:t>
            </w:r>
          </w:p>
        </w:tc>
        <w:tc>
          <w:tcPr>
            <w:tcW w:w="0" w:type="auto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18A45D5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b/>
                <w:bCs/>
                <w:szCs w:val="24"/>
              </w:rPr>
              <w:t>Норма для марок</w:t>
            </w:r>
          </w:p>
        </w:tc>
      </w:tr>
      <w:tr w:rsidR="00651D38" w:rsidRPr="00651D38" w14:paraId="23838B2B" w14:textId="77777777" w:rsidTr="000D214B">
        <w:trPr>
          <w:trHeight w:val="20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262907BB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F1A6289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b/>
                <w:bCs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242CDD5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b/>
                <w:bCs/>
                <w:szCs w:val="24"/>
              </w:rPr>
              <w:t>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7DF105C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b/>
                <w:bCs/>
                <w:szCs w:val="24"/>
              </w:rPr>
              <w:t>А</w:t>
            </w:r>
          </w:p>
        </w:tc>
      </w:tr>
      <w:tr w:rsidR="00651D38" w:rsidRPr="00651D38" w14:paraId="4B924336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87EB0C3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51D38">
              <w:rPr>
                <w:rFonts w:ascii="Times New Roman" w:hAnsi="Times New Roman" w:cs="Times New Roman"/>
                <w:szCs w:val="24"/>
              </w:rPr>
              <w:t>Цетановое</w:t>
            </w:r>
            <w:proofErr w:type="spellEnd"/>
            <w:r w:rsidRPr="00651D38">
              <w:rPr>
                <w:rFonts w:ascii="Times New Roman" w:hAnsi="Times New Roman" w:cs="Times New Roman"/>
                <w:szCs w:val="24"/>
              </w:rPr>
              <w:t xml:space="preserve"> число, не менее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4FEEE5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88CC107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AD5EA82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45</w:t>
            </w:r>
          </w:p>
        </w:tc>
      </w:tr>
      <w:tr w:rsidR="00651D38" w:rsidRPr="00651D38" w14:paraId="59CDD932" w14:textId="77777777" w:rsidTr="00651D38">
        <w:trPr>
          <w:trHeight w:val="20"/>
        </w:trPr>
        <w:tc>
          <w:tcPr>
            <w:tcW w:w="0" w:type="auto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5293B1E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 Фракционный состав:</w:t>
            </w:r>
          </w:p>
        </w:tc>
      </w:tr>
      <w:tr w:rsidR="00651D38" w:rsidRPr="00651D38" w14:paraId="4415902E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9123133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50 % перегоняется при температуре, °С, не выше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9F649CB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879C989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280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3356FF9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255</w:t>
            </w:r>
          </w:p>
        </w:tc>
      </w:tr>
      <w:tr w:rsidR="00651D38" w:rsidRPr="00651D38" w14:paraId="6796A0C9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A48FDB2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90 % перегоняется при температуре (конец перегонки), °С, не выше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D3945FF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93F012F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11D2EBB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330</w:t>
            </w:r>
          </w:p>
        </w:tc>
      </w:tr>
      <w:tr w:rsidR="00651D38" w:rsidRPr="00651D38" w14:paraId="7F0E708D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8A32B98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Кинематическая вязкость при 20 ° С, мм2/с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6CC2143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3,0-6,0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024E647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1,8-5,0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2A2EA97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1,5-4,0</w:t>
            </w:r>
          </w:p>
        </w:tc>
      </w:tr>
      <w:tr w:rsidR="00651D38" w:rsidRPr="00651D38" w14:paraId="0482DC59" w14:textId="77777777" w:rsidTr="00651D38">
        <w:trPr>
          <w:trHeight w:val="20"/>
        </w:trPr>
        <w:tc>
          <w:tcPr>
            <w:tcW w:w="0" w:type="auto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800DF49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Температура застывания, ° С, не выше, для климатической зоны:</w:t>
            </w:r>
          </w:p>
        </w:tc>
      </w:tr>
      <w:tr w:rsidR="00651D38" w:rsidRPr="00651D38" w14:paraId="19AFE878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B4BFA3B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умеренной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CCB703E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39DC6F3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6E63C9C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51D38" w:rsidRPr="00651D38" w14:paraId="31F562CD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C75F520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холодной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498293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32312DA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396F9AE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-55</w:t>
            </w:r>
          </w:p>
        </w:tc>
      </w:tr>
      <w:tr w:rsidR="00651D38" w:rsidRPr="00651D38" w14:paraId="705544FC" w14:textId="77777777" w:rsidTr="00651D38">
        <w:trPr>
          <w:trHeight w:val="20"/>
        </w:trPr>
        <w:tc>
          <w:tcPr>
            <w:tcW w:w="0" w:type="auto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DDC1D1A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Температура помутнения, ° С, не выше, для климатической зоны:</w:t>
            </w:r>
          </w:p>
        </w:tc>
      </w:tr>
      <w:tr w:rsidR="00651D38" w:rsidRPr="00651D38" w14:paraId="3D089D1C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2446FE3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умеренной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6850026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763A3D9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49180D7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51D38" w:rsidRPr="00651D38" w14:paraId="7179BB1A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E800F52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холодной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1D86F97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73DD38A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9E92D40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51D38" w:rsidRPr="00651D38" w14:paraId="6BCD79F3" w14:textId="77777777" w:rsidTr="00651D38">
        <w:trPr>
          <w:trHeight w:val="20"/>
        </w:trPr>
        <w:tc>
          <w:tcPr>
            <w:tcW w:w="0" w:type="auto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60BBFE4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Температура вспышки в закрытом тигле, ° С, не ниже:</w:t>
            </w:r>
          </w:p>
        </w:tc>
      </w:tr>
      <w:tr w:rsidR="00651D38" w:rsidRPr="00651D38" w14:paraId="6BF0E7E3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4CC3D3D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для тепловозных и судовых дизелей и газовых турбин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A561E9B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4E10B29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875D81F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35</w:t>
            </w:r>
          </w:p>
        </w:tc>
      </w:tr>
      <w:tr w:rsidR="00651D38" w:rsidRPr="00651D38" w14:paraId="68C91258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3FCEC60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lastRenderedPageBreak/>
              <w:t>для дизелей общего назначения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904CA8E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7DBA5D0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07522E9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30</w:t>
            </w:r>
          </w:p>
        </w:tc>
      </w:tr>
      <w:tr w:rsidR="00651D38" w:rsidRPr="00651D38" w14:paraId="793405F1" w14:textId="77777777" w:rsidTr="00651D38">
        <w:trPr>
          <w:trHeight w:val="20"/>
        </w:trPr>
        <w:tc>
          <w:tcPr>
            <w:tcW w:w="0" w:type="auto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4D1A1AC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Массовая доля серы, %, не более, в топливе:</w:t>
            </w:r>
          </w:p>
        </w:tc>
      </w:tr>
      <w:tr w:rsidR="00651D38" w:rsidRPr="00651D38" w14:paraId="23852484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BD4F32C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вида I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381CC4F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587A6B2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12FD1D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0,2</w:t>
            </w:r>
          </w:p>
        </w:tc>
      </w:tr>
      <w:tr w:rsidR="00651D38" w:rsidRPr="00651D38" w14:paraId="024D86D7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5D6B3D8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вида II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8BE41C7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5EE671B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5F63B4A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0,4</w:t>
            </w:r>
          </w:p>
        </w:tc>
      </w:tr>
      <w:tr w:rsidR="00651D38" w:rsidRPr="00651D38" w14:paraId="2DE41A22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3A8A71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 xml:space="preserve">Массовая доля </w:t>
            </w:r>
            <w:proofErr w:type="spellStart"/>
            <w:r w:rsidRPr="00651D38">
              <w:rPr>
                <w:rFonts w:ascii="Times New Roman" w:hAnsi="Times New Roman" w:cs="Times New Roman"/>
                <w:szCs w:val="24"/>
              </w:rPr>
              <w:t>меркаптановой</w:t>
            </w:r>
            <w:proofErr w:type="spellEnd"/>
            <w:r w:rsidRPr="00651D38">
              <w:rPr>
                <w:rFonts w:ascii="Times New Roman" w:hAnsi="Times New Roman" w:cs="Times New Roman"/>
                <w:szCs w:val="24"/>
              </w:rPr>
              <w:t xml:space="preserve"> серы, %, не более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7DE14EE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DD5AD08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95BB2B8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0,01</w:t>
            </w:r>
          </w:p>
        </w:tc>
      </w:tr>
      <w:tr w:rsidR="00651D38" w:rsidRPr="00651D38" w14:paraId="36853E88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2CB434D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Содержание фактических смол, мг/100 см3 топлива, не более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AE1963F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B4DCE58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2F1EFB2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30</w:t>
            </w:r>
          </w:p>
        </w:tc>
      </w:tr>
      <w:tr w:rsidR="00651D38" w:rsidRPr="00651D38" w14:paraId="0B6A771E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0BCAA18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Кислотность, мг КОН/100 см3 топлива, не более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0D62785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2B6FA20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0A66B2E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651D38" w:rsidRPr="00651D38" w14:paraId="42F0D099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E685E3E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Йодное число, г I2/100 г топлива, не более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4F4332C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5BFB7C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ECB93C5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651D38" w:rsidRPr="00651D38" w14:paraId="60FB8E8F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B7F43DE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Зольность, %, не более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C5B5DA9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824F735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2C8BC9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0,01</w:t>
            </w:r>
          </w:p>
        </w:tc>
      </w:tr>
      <w:tr w:rsidR="00651D38" w:rsidRPr="00651D38" w14:paraId="64025B10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D98FD8F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Коксуемость 10 %-</w:t>
            </w:r>
            <w:proofErr w:type="spellStart"/>
            <w:r w:rsidRPr="00651D38">
              <w:rPr>
                <w:rFonts w:ascii="Times New Roman" w:hAnsi="Times New Roman" w:cs="Times New Roman"/>
                <w:szCs w:val="24"/>
              </w:rPr>
              <w:t>ного</w:t>
            </w:r>
            <w:proofErr w:type="spellEnd"/>
            <w:r w:rsidRPr="00651D38">
              <w:rPr>
                <w:rFonts w:ascii="Times New Roman" w:hAnsi="Times New Roman" w:cs="Times New Roman"/>
                <w:szCs w:val="24"/>
              </w:rPr>
              <w:t xml:space="preserve"> остатка, %, не более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1442938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EEE341F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3523684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0,30</w:t>
            </w:r>
          </w:p>
        </w:tc>
      </w:tr>
      <w:tr w:rsidR="00651D38" w:rsidRPr="00651D38" w14:paraId="72AB39E1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96C7158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 xml:space="preserve">Коэффициент </w:t>
            </w:r>
            <w:proofErr w:type="spellStart"/>
            <w:r w:rsidRPr="00651D38">
              <w:rPr>
                <w:rFonts w:ascii="Times New Roman" w:hAnsi="Times New Roman" w:cs="Times New Roman"/>
                <w:szCs w:val="24"/>
              </w:rPr>
              <w:t>фильтруемости</w:t>
            </w:r>
            <w:proofErr w:type="spellEnd"/>
            <w:r w:rsidRPr="00651D38">
              <w:rPr>
                <w:rFonts w:ascii="Times New Roman" w:hAnsi="Times New Roman" w:cs="Times New Roman"/>
                <w:szCs w:val="24"/>
              </w:rPr>
              <w:t>, не более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0451276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4E21C5F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1674ABF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651D38" w:rsidRPr="00651D38" w14:paraId="3DDC43C3" w14:textId="77777777" w:rsidTr="00651D38">
        <w:trPr>
          <w:trHeight w:val="20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DD86B4B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Плотность при 20 ° С, кг/м3, не более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298F9AE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860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1AF7575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840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339DCE6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szCs w:val="24"/>
              </w:rPr>
              <w:t>830</w:t>
            </w:r>
          </w:p>
        </w:tc>
      </w:tr>
      <w:tr w:rsidR="00651D38" w:rsidRPr="00651D38" w14:paraId="65D07AE1" w14:textId="77777777" w:rsidTr="00651D38">
        <w:trPr>
          <w:trHeight w:val="20"/>
        </w:trPr>
        <w:tc>
          <w:tcPr>
            <w:tcW w:w="0" w:type="auto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620725F" w14:textId="77777777" w:rsidR="00651D38" w:rsidRPr="00651D38" w:rsidRDefault="00651D38" w:rsidP="00766FE5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651D38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Примечание.</w:t>
            </w:r>
            <w:r w:rsidRPr="00651D38">
              <w:rPr>
                <w:rFonts w:ascii="Times New Roman" w:hAnsi="Times New Roman" w:cs="Times New Roman"/>
                <w:i/>
                <w:iCs/>
                <w:szCs w:val="24"/>
              </w:rPr>
              <w:br/>
              <w:t>Для топлив марок Л, З, А: содержание сероводорода, водорастворимых кислот и щелочей, механических примесей и воды — отсутствие, испытание на медной пластинке — выдерживают.</w:t>
            </w:r>
          </w:p>
        </w:tc>
      </w:tr>
    </w:tbl>
    <w:p w14:paraId="0A06F7D0" w14:textId="77777777" w:rsidR="00651D38" w:rsidRDefault="00651D38" w:rsidP="00651D38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85D9385" w14:textId="77777777" w:rsidR="00C2522F" w:rsidRPr="003B55AD" w:rsidRDefault="000D214B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0D214B">
        <w:rPr>
          <w:rFonts w:ascii="Times New Roman" w:hAnsi="Times New Roman" w:cs="Times New Roman"/>
          <w:sz w:val="24"/>
          <w:szCs w:val="24"/>
        </w:rPr>
        <w:t xml:space="preserve">1. </w:t>
      </w:r>
      <w:r w:rsidR="00C2522F" w:rsidRPr="003B55AD">
        <w:rPr>
          <w:rFonts w:ascii="Times New Roman" w:hAnsi="Times New Roman" w:cs="Times New Roman"/>
          <w:sz w:val="24"/>
          <w:szCs w:val="24"/>
        </w:rPr>
        <w:t>По ГОСТ 12.2.085-2017 находим максимальное допустимое давление в аппарате при срабатывании предохранительного клапана, используем для этого формулу</w:t>
      </w:r>
    </w:p>
    <w:p w14:paraId="48F12E8E" w14:textId="77777777" w:rsidR="00C2522F" w:rsidRPr="003B55AD" w:rsidRDefault="00C2522F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Р</w:t>
      </w:r>
      <w:r w:rsidRPr="003B55AD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 от 0,3 до 6,0 МПа</w:t>
      </w:r>
    </w:p>
    <w:p w14:paraId="6793E43C" w14:textId="77777777" w:rsidR="00C2522F" w:rsidRPr="003B55AD" w:rsidRDefault="00C2522F" w:rsidP="00E5657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B55AD">
        <w:rPr>
          <w:rFonts w:ascii="Times New Roman" w:hAnsi="Times New Roman" w:cs="Times New Roman"/>
          <w:sz w:val="24"/>
          <w:szCs w:val="24"/>
        </w:rPr>
        <w:t>P</w:t>
      </w:r>
      <w:r w:rsidRPr="003B55AD">
        <w:rPr>
          <w:rFonts w:ascii="Times New Roman" w:hAnsi="Times New Roman" w:cs="Times New Roman"/>
          <w:sz w:val="24"/>
          <w:szCs w:val="24"/>
          <w:vertAlign w:val="subscript"/>
        </w:rPr>
        <w:t>по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 = 1,15p</w:t>
      </w:r>
      <w:r w:rsidRPr="003B55AD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3B55AD">
        <w:rPr>
          <w:rFonts w:ascii="Times New Roman" w:hAnsi="Times New Roman" w:cs="Times New Roman"/>
          <w:sz w:val="24"/>
          <w:szCs w:val="24"/>
        </w:rPr>
        <w:t xml:space="preserve"> = 1,15 *0,9 = 1,</w:t>
      </w:r>
      <w:r w:rsidR="00E64AF2" w:rsidRPr="003B55AD">
        <w:rPr>
          <w:rFonts w:ascii="Times New Roman" w:hAnsi="Times New Roman" w:cs="Times New Roman"/>
          <w:sz w:val="24"/>
          <w:szCs w:val="24"/>
        </w:rPr>
        <w:t>035 МПа</w:t>
      </w:r>
    </w:p>
    <w:p w14:paraId="2FA7CC28" w14:textId="77777777" w:rsidR="00F65920" w:rsidRDefault="00F65920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534FE5C2" w14:textId="77777777" w:rsidR="00AC753F" w:rsidRPr="003B55AD" w:rsidRDefault="00AC753F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Находим</w:t>
      </w:r>
      <w:r w:rsidR="00E64AF2" w:rsidRPr="003B55AD">
        <w:rPr>
          <w:rFonts w:ascii="Times New Roman" w:hAnsi="Times New Roman" w:cs="Times New Roman"/>
          <w:sz w:val="24"/>
          <w:szCs w:val="24"/>
        </w:rPr>
        <w:t xml:space="preserve"> молекулярную массу продукта в аппарате </w:t>
      </w:r>
      <w:r w:rsidRPr="003B55AD">
        <w:rPr>
          <w:rFonts w:ascii="Times New Roman" w:hAnsi="Times New Roman" w:cs="Times New Roman"/>
          <w:sz w:val="24"/>
          <w:szCs w:val="24"/>
        </w:rPr>
        <w:t>М=203,64</w:t>
      </w:r>
    </w:p>
    <w:p w14:paraId="3B2E2B67" w14:textId="77777777" w:rsidR="00CA4587" w:rsidRPr="003B55AD" w:rsidRDefault="00E64AF2" w:rsidP="00415D42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Определяют плотност</w:t>
      </w:r>
      <w:r w:rsidR="00AC753F" w:rsidRPr="003B55AD">
        <w:rPr>
          <w:rFonts w:ascii="Times New Roman" w:hAnsi="Times New Roman" w:cs="Times New Roman"/>
          <w:sz w:val="24"/>
          <w:szCs w:val="24"/>
        </w:rPr>
        <w:t xml:space="preserve">ь среды в аппарате при давлении </w:t>
      </w:r>
      <w:r w:rsidRPr="003B55AD">
        <w:rPr>
          <w:rFonts w:ascii="Times New Roman" w:hAnsi="Times New Roman" w:cs="Times New Roman"/>
          <w:sz w:val="24"/>
          <w:szCs w:val="24"/>
        </w:rPr>
        <w:t xml:space="preserve">срабатывания предохранительного клапана и рабочей температур </w:t>
      </w:r>
    </w:p>
    <w:p w14:paraId="7543E5C8" w14:textId="77777777" w:rsidR="00CA4587" w:rsidRPr="003B55AD" w:rsidRDefault="00E64AF2" w:rsidP="00415D42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4F64E1" wp14:editId="6EDDEB7E">
            <wp:extent cx="2089050" cy="502920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6837" cy="516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321EA" w14:textId="77777777" w:rsidR="00B23272" w:rsidRPr="003B55AD" w:rsidRDefault="00AC753F" w:rsidP="00415D4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где р</w:t>
      </w:r>
      <w:r w:rsidRPr="003B55A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  <w:r w:rsidRPr="003B55AD">
        <w:rPr>
          <w:rFonts w:ascii="Times New Roman" w:hAnsi="Times New Roman" w:cs="Times New Roman"/>
          <w:sz w:val="24"/>
          <w:szCs w:val="24"/>
        </w:rPr>
        <w:t xml:space="preserve"> – плотность парогазовой среды в аппарате, кг/м</w:t>
      </w:r>
      <w:proofErr w:type="gramStart"/>
      <w:r w:rsidRPr="003B55A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B55A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3B55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C8FC60" w14:textId="77777777" w:rsidR="00B23272" w:rsidRPr="003B55AD" w:rsidRDefault="00FA2703" w:rsidP="00415D4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AC753F" w:rsidRPr="003B55AD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r w:rsidR="00AC753F" w:rsidRPr="003B55AD">
        <w:rPr>
          <w:rFonts w:ascii="Times New Roman" w:hAnsi="Times New Roman" w:cs="Times New Roman"/>
          <w:sz w:val="24"/>
          <w:szCs w:val="24"/>
        </w:rPr>
        <w:t xml:space="preserve"> – рабочая температура среды в аппарате, ℃; </w:t>
      </w:r>
    </w:p>
    <w:p w14:paraId="4786DE12" w14:textId="77777777" w:rsidR="00AC753F" w:rsidRPr="003B55AD" w:rsidRDefault="00AC753F" w:rsidP="00415D4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55AD">
        <w:rPr>
          <w:rFonts w:ascii="Times New Roman" w:hAnsi="Times New Roman" w:cs="Times New Roman"/>
          <w:sz w:val="24"/>
          <w:szCs w:val="24"/>
        </w:rPr>
        <w:t>Р</w:t>
      </w:r>
      <w:r w:rsidRPr="003B55AD">
        <w:rPr>
          <w:rFonts w:ascii="Times New Roman" w:hAnsi="Times New Roman" w:cs="Times New Roman"/>
          <w:sz w:val="24"/>
          <w:szCs w:val="24"/>
          <w:vertAlign w:val="subscript"/>
        </w:rPr>
        <w:t>ср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 – абсолютное давление срабатывания клапана, М</w:t>
      </w:r>
    </w:p>
    <w:p w14:paraId="1C02214C" w14:textId="77777777" w:rsidR="00FA2703" w:rsidRPr="003B55AD" w:rsidRDefault="00FA2703" w:rsidP="00EC693F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р</w:t>
      </w:r>
      <w:r w:rsidRPr="003B55A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  <w:r w:rsidRPr="003B55A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B55AD">
        <w:rPr>
          <w:rFonts w:ascii="Times New Roman" w:hAnsi="Times New Roman" w:cs="Times New Roman"/>
          <w:sz w:val="24"/>
          <w:szCs w:val="24"/>
        </w:rPr>
        <w:t>=120,27*</w:t>
      </w:r>
      <w:r w:rsidR="00FB642C" w:rsidRPr="003B55AD">
        <w:rPr>
          <w:rFonts w:ascii="Times New Roman" w:hAnsi="Times New Roman" w:cs="Times New Roman"/>
          <w:sz w:val="24"/>
          <w:szCs w:val="24"/>
        </w:rPr>
        <w:t xml:space="preserve"> 203,64*1,035</w:t>
      </w:r>
      <w:proofErr w:type="gramStart"/>
      <w:r w:rsidR="00FB642C" w:rsidRPr="003B55AD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="00FB642C" w:rsidRPr="003B55AD">
        <w:rPr>
          <w:rFonts w:ascii="Times New Roman" w:hAnsi="Times New Roman" w:cs="Times New Roman"/>
          <w:sz w:val="24"/>
          <w:szCs w:val="24"/>
        </w:rPr>
        <w:t>350+273)=</w:t>
      </w:r>
      <w:r w:rsidR="00A2686F" w:rsidRPr="003B55AD">
        <w:rPr>
          <w:rFonts w:ascii="Times New Roman" w:hAnsi="Times New Roman" w:cs="Times New Roman"/>
          <w:sz w:val="24"/>
          <w:szCs w:val="24"/>
        </w:rPr>
        <w:t>40,69</w:t>
      </w:r>
    </w:p>
    <w:p w14:paraId="18C42266" w14:textId="77777777" w:rsidR="00B23272" w:rsidRPr="003B55AD" w:rsidRDefault="00B23272" w:rsidP="003B55AD">
      <w:pPr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Находим абсолютное давление внутри емкости </w:t>
      </w:r>
      <w:r w:rsidR="00A2686F" w:rsidRPr="003B55AD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A2686F" w:rsidRPr="003B55AD">
        <w:rPr>
          <w:rFonts w:ascii="Times New Roman" w:hAnsi="Times New Roman" w:cs="Times New Roman"/>
          <w:sz w:val="24"/>
          <w:szCs w:val="24"/>
        </w:rPr>
        <w:t>диз.топливом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>, МПа</w:t>
      </w:r>
    </w:p>
    <w:p w14:paraId="376868F7" w14:textId="77777777" w:rsidR="00B23272" w:rsidRPr="003B55AD" w:rsidRDefault="00B23272" w:rsidP="00415D42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P</w:t>
      </w:r>
      <w:r w:rsidRPr="003B55AD">
        <w:rPr>
          <w:rFonts w:ascii="Times New Roman" w:hAnsi="Times New Roman" w:cs="Times New Roman"/>
          <w:sz w:val="24"/>
          <w:szCs w:val="24"/>
          <w:vertAlign w:val="subscript"/>
        </w:rPr>
        <w:t>вх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Р</w:t>
      </w:r>
      <w:r w:rsidRPr="003B55AD">
        <w:rPr>
          <w:rFonts w:ascii="Times New Roman" w:hAnsi="Times New Roman" w:cs="Times New Roman"/>
          <w:sz w:val="24"/>
          <w:szCs w:val="24"/>
          <w:vertAlign w:val="subscript"/>
        </w:rPr>
        <w:t>с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8F9144" w14:textId="77777777" w:rsidR="00B23272" w:rsidRPr="003B55AD" w:rsidRDefault="00B23272" w:rsidP="00415D42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0,</w:t>
      </w:r>
      <w:r w:rsidR="00A2686F" w:rsidRPr="003B55AD">
        <w:rPr>
          <w:rFonts w:ascii="Times New Roman" w:hAnsi="Times New Roman" w:cs="Times New Roman"/>
          <w:sz w:val="24"/>
          <w:szCs w:val="24"/>
        </w:rPr>
        <w:t>9</w:t>
      </w:r>
      <w:r w:rsidRPr="003B55AD">
        <w:rPr>
          <w:rFonts w:ascii="Times New Roman" w:hAnsi="Times New Roman" w:cs="Times New Roman"/>
          <w:sz w:val="24"/>
          <w:szCs w:val="24"/>
        </w:rPr>
        <w:t xml:space="preserve"> / 1,</w:t>
      </w:r>
      <w:r w:rsidR="00A2686F" w:rsidRPr="003B55AD">
        <w:rPr>
          <w:rFonts w:ascii="Times New Roman" w:hAnsi="Times New Roman" w:cs="Times New Roman"/>
          <w:sz w:val="24"/>
          <w:szCs w:val="24"/>
        </w:rPr>
        <w:t>03</w:t>
      </w:r>
      <w:r w:rsidR="00E162BD" w:rsidRPr="003B55AD">
        <w:rPr>
          <w:rFonts w:ascii="Times New Roman" w:hAnsi="Times New Roman" w:cs="Times New Roman"/>
          <w:sz w:val="24"/>
          <w:szCs w:val="24"/>
        </w:rPr>
        <w:t>5 = 0,</w:t>
      </w:r>
      <w:r w:rsidRPr="003B55AD">
        <w:rPr>
          <w:rFonts w:ascii="Times New Roman" w:hAnsi="Times New Roman" w:cs="Times New Roman"/>
          <w:sz w:val="24"/>
          <w:szCs w:val="24"/>
        </w:rPr>
        <w:t>87</w:t>
      </w:r>
    </w:p>
    <w:p w14:paraId="0DC4A6C3" w14:textId="77777777" w:rsidR="00E162BD" w:rsidRPr="003B55AD" w:rsidRDefault="00E162BD" w:rsidP="00415D42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В = </w:t>
      </w:r>
      <w:proofErr w:type="gramStart"/>
      <w:r w:rsidRPr="003B55AD">
        <w:rPr>
          <w:rFonts w:ascii="Times New Roman" w:hAnsi="Times New Roman" w:cs="Times New Roman"/>
          <w:sz w:val="24"/>
          <w:szCs w:val="24"/>
        </w:rPr>
        <w:t>f(</w:t>
      </w:r>
      <w:proofErr w:type="spellStart"/>
      <w:proofErr w:type="gramEnd"/>
      <w:r w:rsidRPr="003B55AD">
        <w:rPr>
          <w:rFonts w:ascii="Times New Roman" w:hAnsi="Times New Roman" w:cs="Times New Roman"/>
          <w:sz w:val="24"/>
          <w:szCs w:val="24"/>
        </w:rPr>
        <w:t>Р</w:t>
      </w:r>
      <w:r w:rsidRPr="003B55AD">
        <w:rPr>
          <w:rFonts w:ascii="Times New Roman" w:hAnsi="Times New Roman" w:cs="Times New Roman"/>
          <w:sz w:val="24"/>
          <w:szCs w:val="24"/>
          <w:vertAlign w:val="subscript"/>
        </w:rPr>
        <w:t>вх.и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Р</w:t>
      </w:r>
      <w:r w:rsidRPr="003B55AD">
        <w:rPr>
          <w:rFonts w:ascii="Times New Roman" w:hAnsi="Times New Roman" w:cs="Times New Roman"/>
          <w:sz w:val="24"/>
          <w:szCs w:val="24"/>
          <w:vertAlign w:val="subscript"/>
        </w:rPr>
        <w:t>ср.и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; К) </w:t>
      </w:r>
    </w:p>
    <w:p w14:paraId="4C3E3E23" w14:textId="77777777" w:rsidR="00E162BD" w:rsidRPr="003B55AD" w:rsidRDefault="00281E23" w:rsidP="00415D42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В </w:t>
      </w:r>
      <w:r w:rsidR="00E162BD" w:rsidRPr="003B55AD">
        <w:rPr>
          <w:rFonts w:ascii="Times New Roman" w:hAnsi="Times New Roman" w:cs="Times New Roman"/>
          <w:sz w:val="24"/>
          <w:szCs w:val="24"/>
        </w:rPr>
        <w:t>= 0,</w:t>
      </w:r>
      <w:r w:rsidRPr="003B55AD">
        <w:rPr>
          <w:rFonts w:ascii="Times New Roman" w:hAnsi="Times New Roman" w:cs="Times New Roman"/>
          <w:sz w:val="24"/>
          <w:szCs w:val="24"/>
        </w:rPr>
        <w:t>915</w:t>
      </w:r>
    </w:p>
    <w:p w14:paraId="0AE2A081" w14:textId="77777777" w:rsidR="00E162BD" w:rsidRPr="003B55AD" w:rsidRDefault="00E162BD" w:rsidP="00E565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Где К = показатель адиабаты, для ДТ К=1,3 </w:t>
      </w:r>
    </w:p>
    <w:p w14:paraId="33343BE5" w14:textId="77777777" w:rsidR="007407EF" w:rsidRPr="003B55AD" w:rsidRDefault="007407EF" w:rsidP="00415D4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Определяем необходимую площадь проходного сечения предохранительного клапана при максимальной производительности аппарата по парогазовой среде (или притоке в аппарат среда) во время аварийной ситуации: </w:t>
      </w:r>
    </w:p>
    <w:p w14:paraId="75EAA185" w14:textId="77777777" w:rsidR="00961025" w:rsidRPr="003B55AD" w:rsidRDefault="00961025" w:rsidP="00415D42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A04638" wp14:editId="69B2BF83">
            <wp:extent cx="2041525" cy="54092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9321"/>
                    <a:stretch/>
                  </pic:blipFill>
                  <pic:spPr bwMode="auto">
                    <a:xfrm>
                      <a:off x="0" y="0"/>
                      <a:ext cx="2109980" cy="5590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4369A5" w14:textId="77777777" w:rsidR="00624F43" w:rsidRPr="003B55AD" w:rsidRDefault="00281E23" w:rsidP="00624F4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где F – площадь проходного сечения клапана, м</w:t>
      </w:r>
      <w:r w:rsidRPr="003B55A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B55A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638C25F" w14:textId="77777777" w:rsidR="00624F43" w:rsidRPr="003B55AD" w:rsidRDefault="00281E23" w:rsidP="00415D42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B55AD">
        <w:rPr>
          <w:rFonts w:ascii="Times New Roman" w:hAnsi="Times New Roman" w:cs="Times New Roman"/>
          <w:sz w:val="24"/>
          <w:szCs w:val="24"/>
        </w:rPr>
        <w:t>G</w:t>
      </w:r>
      <w:r w:rsidRPr="003B55AD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3B55A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B55AD">
        <w:rPr>
          <w:rFonts w:ascii="Times New Roman" w:hAnsi="Times New Roman" w:cs="Times New Roman"/>
          <w:sz w:val="24"/>
          <w:szCs w:val="24"/>
        </w:rPr>
        <w:t>– максимальная производительность аппарата по парогазовой среде, кг/с</w:t>
      </w:r>
    </w:p>
    <w:p w14:paraId="0A8591C7" w14:textId="77777777" w:rsidR="00E162BD" w:rsidRPr="003B55AD" w:rsidRDefault="00281E23" w:rsidP="00624F4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 φ – коэффициент расхода среды через клапан (величина φ приводится в паспорте клапана и для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полноподъемных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 клапанов типа ППК и СППК составляет в среднем 0,16 – 0,17)</w:t>
      </w:r>
    </w:p>
    <w:p w14:paraId="41363BE9" w14:textId="77777777" w:rsidR="00624F43" w:rsidRPr="003B55AD" w:rsidRDefault="00624F43" w:rsidP="004D15E7">
      <w:pPr>
        <w:spacing w:line="36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7,142*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-4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*100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0,17*0,915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(1,035-0,9)*40,69</m:t>
                  </m:r>
                </m:e>
              </m:rad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0,2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м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14:paraId="58A53176" w14:textId="77777777" w:rsidR="00367DE7" w:rsidRPr="003B55AD" w:rsidRDefault="00367DE7" w:rsidP="00367DE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2. Высоту подъема клапана определяем по формуле: </w:t>
      </w:r>
    </w:p>
    <w:p w14:paraId="54675136" w14:textId="77777777" w:rsidR="00367DE7" w:rsidRPr="003B55AD" w:rsidRDefault="00367DE7" w:rsidP="00EC693F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H = h/d</w:t>
      </w:r>
    </w:p>
    <w:p w14:paraId="1AA35A30" w14:textId="77777777" w:rsidR="00367DE7" w:rsidRPr="003B55AD" w:rsidRDefault="00367DE7" w:rsidP="00367DE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где h – высота подъема клапана, см; d – внутренний диаметр тарелки клапана, см: 2,5 ≤ d ≤ 12,5. При H ≤ 0,05 клапан считают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малоподъемным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, при 0,05 ≤ H ≤ 0,25 –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полноподъемным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. Принимаем для нашего клапана средние значения d= </w:t>
      </w:r>
      <w:r w:rsidR="00AB0C09" w:rsidRPr="003B55AD">
        <w:rPr>
          <w:rFonts w:ascii="Times New Roman" w:hAnsi="Times New Roman" w:cs="Times New Roman"/>
          <w:sz w:val="24"/>
          <w:szCs w:val="24"/>
        </w:rPr>
        <w:t>10</w:t>
      </w:r>
      <w:r w:rsidRPr="003B55AD">
        <w:rPr>
          <w:rFonts w:ascii="Times New Roman" w:hAnsi="Times New Roman" w:cs="Times New Roman"/>
          <w:sz w:val="24"/>
          <w:szCs w:val="24"/>
        </w:rPr>
        <w:t xml:space="preserve">,5, H= 0,15 </w:t>
      </w:r>
    </w:p>
    <w:p w14:paraId="07C7A78D" w14:textId="77777777" w:rsidR="00367DE7" w:rsidRPr="003B55AD" w:rsidRDefault="00367DE7" w:rsidP="00A05E2D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h=H*d h=0,15*</w:t>
      </w:r>
      <w:r w:rsidR="00C512B0" w:rsidRPr="00991211">
        <w:rPr>
          <w:rFonts w:ascii="Times New Roman" w:hAnsi="Times New Roman" w:cs="Times New Roman"/>
          <w:sz w:val="24"/>
          <w:szCs w:val="24"/>
        </w:rPr>
        <w:t>4</w:t>
      </w:r>
      <w:r w:rsidRPr="003B55AD">
        <w:rPr>
          <w:rFonts w:ascii="Times New Roman" w:hAnsi="Times New Roman" w:cs="Times New Roman"/>
          <w:sz w:val="24"/>
          <w:szCs w:val="24"/>
        </w:rPr>
        <w:t xml:space="preserve">,5 = </w:t>
      </w:r>
      <w:r w:rsidR="00C512B0" w:rsidRPr="00991211">
        <w:rPr>
          <w:rFonts w:ascii="Times New Roman" w:hAnsi="Times New Roman" w:cs="Times New Roman"/>
          <w:sz w:val="24"/>
          <w:szCs w:val="24"/>
        </w:rPr>
        <w:t>0,675</w:t>
      </w:r>
      <w:r w:rsidRPr="003B55AD">
        <w:rPr>
          <w:rFonts w:ascii="Times New Roman" w:hAnsi="Times New Roman" w:cs="Times New Roman"/>
          <w:sz w:val="24"/>
          <w:szCs w:val="24"/>
        </w:rPr>
        <w:t>см</w:t>
      </w:r>
    </w:p>
    <w:p w14:paraId="117383F9" w14:textId="77777777" w:rsidR="00367DE7" w:rsidRPr="003B55AD" w:rsidRDefault="00367DE7" w:rsidP="00367DE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3.Количество предохранительных клапанов рассчитывают по формуле</w:t>
      </w:r>
    </w:p>
    <w:p w14:paraId="179AA055" w14:textId="77777777" w:rsidR="0038322B" w:rsidRPr="003B55AD" w:rsidRDefault="0038322B" w:rsidP="0038322B">
      <w:pPr>
        <w:spacing w:line="36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69F762" wp14:editId="41442891">
            <wp:extent cx="744371" cy="419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8897" cy="444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58B30" w14:textId="77777777" w:rsidR="0038322B" w:rsidRPr="003B55AD" w:rsidRDefault="0038322B" w:rsidP="0038322B">
      <w:pPr>
        <w:spacing w:line="36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n=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0,015*100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1*4,5*0,675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=0,5≈1</m:t>
          </m:r>
        </m:oMath>
      </m:oMathPara>
    </w:p>
    <w:p w14:paraId="49B96DA7" w14:textId="77777777" w:rsidR="00B057CE" w:rsidRPr="003B55AD" w:rsidRDefault="0038322B" w:rsidP="00B057C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где k – коэффициент, для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полноподъемных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 – 0,015; </w:t>
      </w:r>
    </w:p>
    <w:p w14:paraId="69B088DD" w14:textId="77777777" w:rsidR="00B057CE" w:rsidRPr="003B55AD" w:rsidRDefault="0038322B" w:rsidP="00B057C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55AD">
        <w:rPr>
          <w:rFonts w:ascii="Times New Roman" w:hAnsi="Times New Roman" w:cs="Times New Roman"/>
          <w:sz w:val="24"/>
          <w:szCs w:val="24"/>
        </w:rPr>
        <w:t>Gк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 – производительность при максимальной нагрузке, кг/ч;</w:t>
      </w:r>
    </w:p>
    <w:p w14:paraId="347F8763" w14:textId="77777777" w:rsidR="0038322B" w:rsidRPr="003B55AD" w:rsidRDefault="0038322B" w:rsidP="00B057C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 р – абсолютное давление, МПа</w:t>
      </w:r>
    </w:p>
    <w:p w14:paraId="1B79B988" w14:textId="77777777" w:rsidR="00991211" w:rsidRPr="0043043E" w:rsidRDefault="00246661" w:rsidP="0099121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Исходя из расчетов </w:t>
      </w:r>
      <w:r w:rsidR="00991211">
        <w:rPr>
          <w:rFonts w:ascii="Times New Roman" w:hAnsi="Times New Roman" w:cs="Times New Roman"/>
          <w:sz w:val="24"/>
          <w:szCs w:val="24"/>
        </w:rPr>
        <w:t xml:space="preserve">примем количество клапанов </w:t>
      </w:r>
      <w:r w:rsidR="0099121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91211" w:rsidRPr="0043043E">
        <w:rPr>
          <w:rFonts w:ascii="Times New Roman" w:hAnsi="Times New Roman" w:cs="Times New Roman"/>
          <w:sz w:val="24"/>
          <w:szCs w:val="24"/>
        </w:rPr>
        <w:t>=1</w:t>
      </w:r>
    </w:p>
    <w:p w14:paraId="27CF64B5" w14:textId="77777777" w:rsidR="00C512B0" w:rsidRPr="003B55AD" w:rsidRDefault="00B057CE" w:rsidP="00C512B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4. </w:t>
      </w:r>
      <w:r w:rsidR="00C512B0" w:rsidRPr="003B55AD">
        <w:rPr>
          <w:rFonts w:ascii="Times New Roman" w:hAnsi="Times New Roman" w:cs="Times New Roman"/>
          <w:sz w:val="24"/>
          <w:szCs w:val="24"/>
        </w:rPr>
        <w:t>Пропускную способность предохранительных клапанов для газов и паров, кг/ч, рассчитывают по формуле</w:t>
      </w:r>
    </w:p>
    <w:p w14:paraId="5A574679" w14:textId="77777777" w:rsidR="00CF3838" w:rsidRPr="003B55AD" w:rsidRDefault="00CF3838" w:rsidP="00C512B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lastRenderedPageBreak/>
        <w:t xml:space="preserve">Пропускную способность предохранительных клапанов для газов и паров, кг/ч, рассчитывают по формуле </w:t>
      </w:r>
    </w:p>
    <w:p w14:paraId="61377E2D" w14:textId="77777777" w:rsidR="003B55AD" w:rsidRDefault="00A83EC4" w:rsidP="003B55AD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D524D4" wp14:editId="01F2D746">
            <wp:extent cx="1532255" cy="476048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23320"/>
                    <a:stretch/>
                  </pic:blipFill>
                  <pic:spPr bwMode="auto">
                    <a:xfrm>
                      <a:off x="0" y="0"/>
                      <a:ext cx="1547099" cy="480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F0659B" w14:textId="77777777" w:rsidR="00E536B4" w:rsidRPr="003B55AD" w:rsidRDefault="00CF3838" w:rsidP="00A05E2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где p – давление под клапаном, Па (максимальное давление под клапаном должно быть не более 1,1 расчетного); </w:t>
      </w:r>
    </w:p>
    <w:p w14:paraId="2976BC4F" w14:textId="77777777" w:rsidR="00E536B4" w:rsidRPr="003B55AD" w:rsidRDefault="00CF3838" w:rsidP="00C512B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a – площадь сечения клапана, cм</w:t>
      </w:r>
      <w:proofErr w:type="gramStart"/>
      <w:r w:rsidRPr="003B55A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B55A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14:paraId="4B22E3BD" w14:textId="77777777" w:rsidR="00A83EC4" w:rsidRPr="003B55AD" w:rsidRDefault="00CF3838" w:rsidP="00C512B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 М – молекулярная масса газов или паров; </w:t>
      </w:r>
    </w:p>
    <w:p w14:paraId="1487969D" w14:textId="77777777" w:rsidR="00746B86" w:rsidRPr="003B55AD" w:rsidRDefault="00CF3838" w:rsidP="00C512B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>Т – абсолютное значение температуры, К.</w:t>
      </w:r>
    </w:p>
    <w:p w14:paraId="30A9CD6B" w14:textId="77777777" w:rsidR="0043043E" w:rsidRDefault="00A83EC4" w:rsidP="007D4F6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G=216*1,6*0,2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203,64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623</m:t>
                  </m:r>
                </m:den>
              </m:f>
            </m:e>
          </m:rad>
          <m:r>
            <w:rPr>
              <w:rFonts w:ascii="Cambria Math" w:hAnsi="Cambria Math" w:cs="Times New Roman"/>
              <w:sz w:val="24"/>
              <w:szCs w:val="24"/>
            </w:rPr>
            <m:t xml:space="preserve">=39,5 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кг/ч</m:t>
          </m:r>
        </m:oMath>
      </m:oMathPara>
    </w:p>
    <w:p w14:paraId="7D3A472D" w14:textId="77777777" w:rsidR="0043043E" w:rsidRDefault="0043043E" w:rsidP="007D4F6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3FC98A3A" w14:textId="77777777" w:rsidR="00142714" w:rsidRDefault="00142714" w:rsidP="0014271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42714">
        <w:rPr>
          <w:rFonts w:ascii="Times New Roman" w:eastAsiaTheme="minorEastAsia" w:hAnsi="Times New Roman" w:cs="Times New Roman"/>
          <w:sz w:val="24"/>
          <w:szCs w:val="24"/>
        </w:rPr>
        <w:t xml:space="preserve">Примем </w:t>
      </w:r>
      <w:proofErr w:type="spellStart"/>
      <w:r w:rsidRPr="00142714">
        <w:rPr>
          <w:rFonts w:ascii="Times New Roman" w:eastAsiaTheme="minorEastAsia" w:hAnsi="Times New Roman" w:cs="Times New Roman"/>
          <w:sz w:val="24"/>
          <w:szCs w:val="24"/>
        </w:rPr>
        <w:t>полноподъемный</w:t>
      </w:r>
      <w:proofErr w:type="spellEnd"/>
      <w:r w:rsidRPr="00142714">
        <w:rPr>
          <w:rFonts w:ascii="Times New Roman" w:eastAsiaTheme="minorEastAsia" w:hAnsi="Times New Roman" w:cs="Times New Roman"/>
          <w:sz w:val="24"/>
          <w:szCs w:val="24"/>
        </w:rPr>
        <w:t xml:space="preserve"> пружинный фланцевый стальной клапан СППК4-16 (17с13нж) на </w:t>
      </w:r>
      <w:proofErr w:type="spellStart"/>
      <w:r w:rsidRPr="00142714">
        <w:rPr>
          <w:rFonts w:ascii="Times New Roman" w:eastAsiaTheme="minorEastAsia" w:hAnsi="Times New Roman" w:cs="Times New Roman"/>
          <w:sz w:val="24"/>
          <w:szCs w:val="24"/>
        </w:rPr>
        <w:t>Ру</w:t>
      </w:r>
      <w:proofErr w:type="spellEnd"/>
      <w:r w:rsidRPr="00142714">
        <w:rPr>
          <w:rFonts w:ascii="Times New Roman" w:eastAsiaTheme="minorEastAsia" w:hAnsi="Times New Roman" w:cs="Times New Roman"/>
          <w:sz w:val="24"/>
          <w:szCs w:val="24"/>
        </w:rPr>
        <w:t xml:space="preserve"> 1,6 МПа; </w:t>
      </w:r>
      <w:proofErr w:type="spellStart"/>
      <w:r w:rsidRPr="00142714">
        <w:rPr>
          <w:rFonts w:ascii="Times New Roman" w:eastAsiaTheme="minorEastAsia" w:hAnsi="Times New Roman" w:cs="Times New Roman"/>
          <w:sz w:val="24"/>
          <w:szCs w:val="24"/>
        </w:rPr>
        <w:t>Dу</w:t>
      </w:r>
      <w:proofErr w:type="spellEnd"/>
      <w:r w:rsidRPr="00142714">
        <w:rPr>
          <w:rFonts w:ascii="Times New Roman" w:eastAsiaTheme="minorEastAsia" w:hAnsi="Times New Roman" w:cs="Times New Roman"/>
          <w:sz w:val="24"/>
          <w:szCs w:val="24"/>
        </w:rPr>
        <w:t xml:space="preserve"> 50, 80, 100, 150 и 200 мм для Жидких и газообразных неагрессивные химических и нефтяных сред с </w:t>
      </w:r>
      <w:proofErr w:type="gramStart"/>
      <w:r w:rsidRPr="00142714">
        <w:rPr>
          <w:rFonts w:ascii="Times New Roman" w:eastAsiaTheme="minorEastAsia" w:hAnsi="Times New Roman" w:cs="Times New Roman"/>
          <w:sz w:val="24"/>
          <w:szCs w:val="24"/>
        </w:rPr>
        <w:t>температурой До</w:t>
      </w:r>
      <w:proofErr w:type="gramEnd"/>
      <w:r w:rsidRPr="00142714">
        <w:rPr>
          <w:rFonts w:ascii="Times New Roman" w:eastAsiaTheme="minorEastAsia" w:hAnsi="Times New Roman" w:cs="Times New Roman"/>
          <w:sz w:val="24"/>
          <w:szCs w:val="24"/>
        </w:rPr>
        <w:t xml:space="preserve"> 450° С</w:t>
      </w:r>
    </w:p>
    <w:p w14:paraId="31C896BB" w14:textId="77777777" w:rsidR="00142714" w:rsidRPr="00142714" w:rsidRDefault="000D214B" w:rsidP="00142714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142714">
        <w:rPr>
          <w:rFonts w:ascii="Times New Roman" w:eastAsiaTheme="minorEastAsia" w:hAnsi="Times New Roman" w:cs="Times New Roman"/>
          <w:sz w:val="24"/>
          <w:szCs w:val="24"/>
        </w:rPr>
        <w:t>Показатели назначения </w:t>
      </w:r>
    </w:p>
    <w:p w14:paraId="774B5E98" w14:textId="77777777" w:rsidR="000D214B" w:rsidRPr="000D214B" w:rsidRDefault="000D214B" w:rsidP="0014271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D214B">
        <w:rPr>
          <w:rFonts w:ascii="Times New Roman" w:eastAsiaTheme="minorEastAsia" w:hAnsi="Times New Roman" w:cs="Times New Roman"/>
          <w:b/>
          <w:bCs/>
          <w:sz w:val="24"/>
          <w:szCs w:val="24"/>
        </w:rPr>
        <w:t>Рабочие среды:</w:t>
      </w:r>
      <w:r w:rsidRPr="000D214B">
        <w:rPr>
          <w:rFonts w:ascii="Times New Roman" w:eastAsiaTheme="minorEastAsia" w:hAnsi="Times New Roman" w:cs="Times New Roman"/>
          <w:sz w:val="24"/>
          <w:szCs w:val="24"/>
        </w:rPr>
        <w:t> Вода, воздух, пар, аммиак, природный газ, нефть, нефтепродукты, жидкие и газообразные углеводороды и другие среды, в которых скорость коррозии стали 20Л, 20 не превышает 0,1 мм/ год</w:t>
      </w:r>
    </w:p>
    <w:p w14:paraId="2178E52E" w14:textId="77777777" w:rsidR="000D214B" w:rsidRPr="000D214B" w:rsidRDefault="000D214B" w:rsidP="0014271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D214B">
        <w:rPr>
          <w:rFonts w:ascii="Times New Roman" w:eastAsiaTheme="minorEastAsia" w:hAnsi="Times New Roman" w:cs="Times New Roman"/>
          <w:b/>
          <w:bCs/>
          <w:sz w:val="24"/>
          <w:szCs w:val="24"/>
        </w:rPr>
        <w:t>Температура рабочей среды:</w:t>
      </w:r>
      <w:r w:rsidRPr="000D214B">
        <w:rPr>
          <w:rFonts w:ascii="Times New Roman" w:eastAsiaTheme="minorEastAsia" w:hAnsi="Times New Roman" w:cs="Times New Roman"/>
          <w:sz w:val="24"/>
          <w:szCs w:val="24"/>
        </w:rPr>
        <w:t> От -40 °C до +425 °C </w:t>
      </w:r>
    </w:p>
    <w:p w14:paraId="35FCE835" w14:textId="77777777" w:rsidR="000D214B" w:rsidRPr="000D214B" w:rsidRDefault="000D214B" w:rsidP="00142714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0D214B">
        <w:rPr>
          <w:rFonts w:ascii="Times New Roman" w:eastAsiaTheme="minorEastAsia" w:hAnsi="Times New Roman" w:cs="Times New Roman"/>
          <w:b/>
          <w:bCs/>
          <w:sz w:val="24"/>
          <w:szCs w:val="24"/>
        </w:rPr>
        <w:t>Миниальная</w:t>
      </w:r>
      <w:proofErr w:type="spellEnd"/>
      <w:r w:rsidRPr="000D214B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температура окружающего воздуха:</w:t>
      </w:r>
      <w:r w:rsidRPr="000D214B">
        <w:rPr>
          <w:rFonts w:ascii="Times New Roman" w:eastAsiaTheme="minorEastAsia" w:hAnsi="Times New Roman" w:cs="Times New Roman"/>
          <w:sz w:val="24"/>
          <w:szCs w:val="24"/>
        </w:rPr>
        <w:t> -40 °C</w:t>
      </w:r>
    </w:p>
    <w:tbl>
      <w:tblPr>
        <w:tblW w:w="89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2"/>
        <w:gridCol w:w="2143"/>
        <w:gridCol w:w="2848"/>
        <w:gridCol w:w="688"/>
      </w:tblGrid>
      <w:tr w:rsidR="000D214B" w:rsidRPr="000D214B" w14:paraId="3A86324C" w14:textId="77777777" w:rsidTr="00142714">
        <w:trPr>
          <w:trHeight w:val="483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51292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параметры</w:t>
            </w:r>
          </w:p>
        </w:tc>
      </w:tr>
      <w:tr w:rsidR="000D214B" w:rsidRPr="000D214B" w14:paraId="751C2482" w14:textId="77777777" w:rsidTr="00142714">
        <w:trPr>
          <w:trHeight w:val="49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445D7C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Обозначение изделия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C329A6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СППК4 200-16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21A9B6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α</w:t>
            </w: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vertAlign w:val="subscript"/>
              </w:rPr>
              <w:t>1</w:t>
            </w: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 газа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786DE1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0,4</w:t>
            </w:r>
          </w:p>
        </w:tc>
      </w:tr>
      <w:tr w:rsidR="000D214B" w:rsidRPr="000D214B" w14:paraId="0FDEBBA7" w14:textId="77777777" w:rsidTr="00142714">
        <w:trPr>
          <w:trHeight w:val="48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17A4C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Таблица фигур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DA52D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17с13нж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A69AF2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α</w:t>
            </w: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 жид.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30975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0,23</w:t>
            </w:r>
          </w:p>
        </w:tc>
      </w:tr>
      <w:tr w:rsidR="000D214B" w:rsidRPr="000D214B" w14:paraId="4B7534FD" w14:textId="77777777" w:rsidTr="00142714">
        <w:trPr>
          <w:trHeight w:val="48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1A997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DN, вход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640155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942745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Материал корпуса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B3529E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20Л</w:t>
            </w:r>
          </w:p>
        </w:tc>
      </w:tr>
      <w:tr w:rsidR="000D214B" w:rsidRPr="000D214B" w14:paraId="767E6EE5" w14:textId="77777777" w:rsidTr="00142714">
        <w:trPr>
          <w:trHeight w:val="49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7EB396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PN, кгс/см</w:t>
            </w: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 вход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BC6DFE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D45D59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H,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0E0264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---</w:t>
            </w:r>
          </w:p>
        </w:tc>
      </w:tr>
      <w:tr w:rsidR="000D214B" w:rsidRPr="000D214B" w14:paraId="4E26E085" w14:textId="77777777" w:rsidTr="00142714">
        <w:trPr>
          <w:trHeight w:val="48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14CB6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DN, выход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8D654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634A3B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H1,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237AB2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1000</w:t>
            </w:r>
          </w:p>
        </w:tc>
      </w:tr>
      <w:tr w:rsidR="000D214B" w:rsidRPr="000D214B" w14:paraId="69BD176B" w14:textId="77777777" w:rsidTr="00142714">
        <w:trPr>
          <w:trHeight w:val="49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8030B3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PN, кгс/см2 выход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90977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4CC3D2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L,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00FB7F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280</w:t>
            </w:r>
          </w:p>
        </w:tc>
      </w:tr>
      <w:tr w:rsidR="000D214B" w:rsidRPr="000D214B" w14:paraId="7022BE7A" w14:textId="77777777" w:rsidTr="00142714">
        <w:trPr>
          <w:trHeight w:val="48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84D5F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d</w:t>
            </w: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vertAlign w:val="subscript"/>
              </w:rPr>
              <w:t>c</w:t>
            </w:r>
            <w:proofErr w:type="spellEnd"/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FD05C3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D2D1EB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L1,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CC1A88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320</w:t>
            </w:r>
          </w:p>
        </w:tc>
      </w:tr>
      <w:tr w:rsidR="000D214B" w:rsidRPr="000D214B" w14:paraId="5EA922B3" w14:textId="77777777" w:rsidTr="00142714">
        <w:trPr>
          <w:trHeight w:val="49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23DCF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F</w:t>
            </w: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vertAlign w:val="subscript"/>
              </w:rPr>
              <w:t>c</w:t>
            </w:r>
            <w:proofErr w:type="spellEnd"/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3A3932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15836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0E48A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Масса,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3C76DF" w14:textId="77777777" w:rsidR="000D214B" w:rsidRPr="000D214B" w:rsidRDefault="000D214B" w:rsidP="000D214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D214B">
              <w:rPr>
                <w:rFonts w:ascii="Times New Roman" w:eastAsiaTheme="minorEastAsia" w:hAnsi="Times New Roman" w:cs="Times New Roman"/>
                <w:sz w:val="24"/>
                <w:szCs w:val="24"/>
              </w:rPr>
              <w:t>176</w:t>
            </w:r>
          </w:p>
        </w:tc>
      </w:tr>
    </w:tbl>
    <w:p w14:paraId="19A51721" w14:textId="77777777" w:rsidR="0043043E" w:rsidRDefault="0043043E" w:rsidP="007D4F6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6D750841" w14:textId="77777777" w:rsidR="00142714" w:rsidRDefault="0043043E" w:rsidP="007D4F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C394E74" wp14:editId="1D839090">
            <wp:extent cx="5013703" cy="4061460"/>
            <wp:effectExtent l="0" t="0" r="0" b="0"/>
            <wp:docPr id="2" name="Рисунок 2" descr="17с13н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7с13нж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98" cy="4064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A9974" w14:textId="77777777" w:rsidR="00746B86" w:rsidRPr="003B55AD" w:rsidRDefault="00142714" w:rsidP="007D4F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2-</w:t>
      </w:r>
      <w:r w:rsidRPr="00142714">
        <w:rPr>
          <w:rFonts w:ascii="Times New Roman" w:hAnsi="Times New Roman" w:cs="Times New Roman"/>
          <w:sz w:val="24"/>
          <w:szCs w:val="24"/>
        </w:rPr>
        <w:t>Чертёж клапана 17с13нж</w:t>
      </w:r>
      <w:r w:rsidR="00746B86" w:rsidRPr="003B55AD">
        <w:rPr>
          <w:rFonts w:ascii="Times New Roman" w:hAnsi="Times New Roman" w:cs="Times New Roman"/>
          <w:sz w:val="24"/>
          <w:szCs w:val="24"/>
        </w:rPr>
        <w:br w:type="page"/>
      </w:r>
    </w:p>
    <w:p w14:paraId="206DCA17" w14:textId="77777777" w:rsidR="00746B86" w:rsidRDefault="00746B86" w:rsidP="00A05E2D">
      <w:pPr>
        <w:pStyle w:val="1"/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3" w:name="_Toc113988932"/>
      <w:r w:rsidRPr="00A05E2D">
        <w:rPr>
          <w:rFonts w:ascii="Times New Roman" w:hAnsi="Times New Roman" w:cs="Times New Roman"/>
          <w:b/>
          <w:color w:val="auto"/>
          <w:sz w:val="24"/>
        </w:rPr>
        <w:lastRenderedPageBreak/>
        <w:t xml:space="preserve">Список использованных </w:t>
      </w:r>
      <w:proofErr w:type="gramStart"/>
      <w:r w:rsidRPr="00A05E2D">
        <w:rPr>
          <w:rFonts w:ascii="Times New Roman" w:hAnsi="Times New Roman" w:cs="Times New Roman"/>
          <w:b/>
          <w:color w:val="auto"/>
          <w:sz w:val="24"/>
        </w:rPr>
        <w:t xml:space="preserve">источников </w:t>
      </w:r>
      <w:r w:rsidR="00A05E2D">
        <w:rPr>
          <w:rFonts w:ascii="Times New Roman" w:hAnsi="Times New Roman" w:cs="Times New Roman"/>
          <w:b/>
          <w:color w:val="auto"/>
          <w:sz w:val="24"/>
        </w:rPr>
        <w:t>:</w:t>
      </w:r>
      <w:bookmarkEnd w:id="3"/>
      <w:proofErr w:type="gramEnd"/>
    </w:p>
    <w:p w14:paraId="2EEE8AC1" w14:textId="77777777" w:rsidR="00A05E2D" w:rsidRPr="00A05E2D" w:rsidRDefault="00A05E2D" w:rsidP="00A05E2D"/>
    <w:p w14:paraId="104DE303" w14:textId="77777777" w:rsidR="00AB7802" w:rsidRPr="003B55AD" w:rsidRDefault="00746B86" w:rsidP="00C512B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1 Инженерные расчеты по охране труда и технической </w:t>
      </w:r>
      <w:proofErr w:type="gramStart"/>
      <w:r w:rsidRPr="003B55AD">
        <w:rPr>
          <w:rFonts w:ascii="Times New Roman" w:hAnsi="Times New Roman" w:cs="Times New Roman"/>
          <w:sz w:val="24"/>
          <w:szCs w:val="24"/>
        </w:rPr>
        <w:t>безопасности :</w:t>
      </w:r>
      <w:proofErr w:type="gramEnd"/>
      <w:r w:rsidRPr="003B55AD">
        <w:rPr>
          <w:rFonts w:ascii="Times New Roman" w:hAnsi="Times New Roman" w:cs="Times New Roman"/>
          <w:sz w:val="24"/>
          <w:szCs w:val="24"/>
        </w:rPr>
        <w:t xml:space="preserve"> учеб.-метод. пособие для студентов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химикотехнологических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 специальностей / Б. Р. Ладик [и др.]. – Минск: БГТУ, 2007. – 86 с. </w:t>
      </w:r>
    </w:p>
    <w:p w14:paraId="170A95DA" w14:textId="77777777" w:rsidR="00746B86" w:rsidRPr="003B55AD" w:rsidRDefault="00746B86" w:rsidP="00C512B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2 Правила устройства и безопасной эксплуатации сосудов, работающих под П 68 давлением (П Б 03-576—03). Серия 03. Выпуск 24 /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Колл.авт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. — М.: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Научнотехнический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 центр по безопасности в промышленности, 2008. — 188 с. </w:t>
      </w:r>
    </w:p>
    <w:p w14:paraId="0C2382AC" w14:textId="77777777" w:rsidR="00746B86" w:rsidRPr="003B55AD" w:rsidRDefault="00746B86" w:rsidP="00C512B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3 Смирнов Г.Г.,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Толчинский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 А.Р., Кондратьева Т.Ф. Конструирование безопасных аппаратов для химических и нефтехимических производств. Л.: Машиностроение, 1988. </w:t>
      </w:r>
    </w:p>
    <w:p w14:paraId="4958B5FC" w14:textId="77777777" w:rsidR="00CF3838" w:rsidRPr="003B55AD" w:rsidRDefault="00746B86" w:rsidP="00C512B0">
      <w:pPr>
        <w:spacing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55AD">
        <w:rPr>
          <w:rFonts w:ascii="Times New Roman" w:hAnsi="Times New Roman" w:cs="Times New Roman"/>
          <w:sz w:val="24"/>
          <w:szCs w:val="24"/>
        </w:rPr>
        <w:t xml:space="preserve">4 Пожарная безопасность технологических процессов: сборник задач по разд. «Анализ пожарной опасности и защиты технологических процессов производств» / авторы-составители В.П. Артемьев, В.А.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Осяев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 xml:space="preserve">. – Минск: КИИ МЧС </w:t>
      </w:r>
      <w:proofErr w:type="spellStart"/>
      <w:r w:rsidRPr="003B55AD">
        <w:rPr>
          <w:rFonts w:ascii="Times New Roman" w:hAnsi="Times New Roman" w:cs="Times New Roman"/>
          <w:sz w:val="24"/>
          <w:szCs w:val="24"/>
        </w:rPr>
        <w:t>Респ</w:t>
      </w:r>
      <w:proofErr w:type="spellEnd"/>
      <w:r w:rsidRPr="003B55AD">
        <w:rPr>
          <w:rFonts w:ascii="Times New Roman" w:hAnsi="Times New Roman" w:cs="Times New Roman"/>
          <w:sz w:val="24"/>
          <w:szCs w:val="24"/>
        </w:rPr>
        <w:t>. Беларусь, 2007. – 81 с</w:t>
      </w:r>
    </w:p>
    <w:sectPr w:rsidR="00CF3838" w:rsidRPr="003B5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QCHC+TimesNewRomanPSMT">
    <w:altName w:val="Sylfaen"/>
    <w:charset w:val="01"/>
    <w:family w:val="auto"/>
    <w:pitch w:val="variable"/>
    <w:sig w:usb0="E0002EFF" w:usb1="C000785B" w:usb2="00000009" w:usb3="00000000" w:csb0="400001FF" w:csb1="FFFF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621"/>
    <w:rsid w:val="0000421A"/>
    <w:rsid w:val="000D214B"/>
    <w:rsid w:val="00142714"/>
    <w:rsid w:val="001A4510"/>
    <w:rsid w:val="001D7A53"/>
    <w:rsid w:val="001E5209"/>
    <w:rsid w:val="00246661"/>
    <w:rsid w:val="002641B1"/>
    <w:rsid w:val="00281E23"/>
    <w:rsid w:val="00367DE7"/>
    <w:rsid w:val="0038322B"/>
    <w:rsid w:val="003A7DCB"/>
    <w:rsid w:val="003B55AD"/>
    <w:rsid w:val="003D3F29"/>
    <w:rsid w:val="00415D42"/>
    <w:rsid w:val="0043043E"/>
    <w:rsid w:val="004D15E7"/>
    <w:rsid w:val="004D2F2C"/>
    <w:rsid w:val="004E0539"/>
    <w:rsid w:val="0055578F"/>
    <w:rsid w:val="005B5682"/>
    <w:rsid w:val="005F72BC"/>
    <w:rsid w:val="00624F43"/>
    <w:rsid w:val="00651D38"/>
    <w:rsid w:val="00684C73"/>
    <w:rsid w:val="0072160A"/>
    <w:rsid w:val="007407EF"/>
    <w:rsid w:val="00746B86"/>
    <w:rsid w:val="007D4F63"/>
    <w:rsid w:val="00862B30"/>
    <w:rsid w:val="00862B99"/>
    <w:rsid w:val="00865692"/>
    <w:rsid w:val="00891905"/>
    <w:rsid w:val="00961025"/>
    <w:rsid w:val="00991211"/>
    <w:rsid w:val="00A05E2D"/>
    <w:rsid w:val="00A2686F"/>
    <w:rsid w:val="00A83EC4"/>
    <w:rsid w:val="00AB0C09"/>
    <w:rsid w:val="00AB7802"/>
    <w:rsid w:val="00AC753F"/>
    <w:rsid w:val="00AD7ACE"/>
    <w:rsid w:val="00B057CE"/>
    <w:rsid w:val="00B23272"/>
    <w:rsid w:val="00B72614"/>
    <w:rsid w:val="00C2522F"/>
    <w:rsid w:val="00C512B0"/>
    <w:rsid w:val="00CA4587"/>
    <w:rsid w:val="00CF3838"/>
    <w:rsid w:val="00D01B22"/>
    <w:rsid w:val="00DC2A81"/>
    <w:rsid w:val="00E162BD"/>
    <w:rsid w:val="00E34621"/>
    <w:rsid w:val="00E536B4"/>
    <w:rsid w:val="00E5657E"/>
    <w:rsid w:val="00E64AF2"/>
    <w:rsid w:val="00E7166C"/>
    <w:rsid w:val="00EA04D7"/>
    <w:rsid w:val="00EA2C69"/>
    <w:rsid w:val="00EC693F"/>
    <w:rsid w:val="00ED2FA6"/>
    <w:rsid w:val="00ED7FC6"/>
    <w:rsid w:val="00F01A56"/>
    <w:rsid w:val="00F65920"/>
    <w:rsid w:val="00FA2703"/>
    <w:rsid w:val="00FB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1652"/>
  <w15:chartTrackingRefBased/>
  <w15:docId w15:val="{D5ADE807-19BB-4451-8929-F80FDADAF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05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656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4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656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865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05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4E053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E053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E0539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4E0539"/>
    <w:rPr>
      <w:color w:val="0563C1" w:themeColor="hyperlink"/>
      <w:u w:val="single"/>
    </w:rPr>
  </w:style>
  <w:style w:type="character" w:styleId="a7">
    <w:name w:val="Placeholder Text"/>
    <w:basedOn w:val="a0"/>
    <w:uiPriority w:val="99"/>
    <w:semiHidden/>
    <w:rsid w:val="00624F43"/>
    <w:rPr>
      <w:color w:val="808080"/>
    </w:rPr>
  </w:style>
  <w:style w:type="character" w:customStyle="1" w:styleId="40">
    <w:name w:val="Заголовок 4 Знак"/>
    <w:basedOn w:val="a0"/>
    <w:link w:val="4"/>
    <w:uiPriority w:val="9"/>
    <w:semiHidden/>
    <w:rsid w:val="000D214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EDBED-CD08-4B4B-BAA1-5CB685BD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4056</TotalTime>
  <Pages>1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Машина</cp:lastModifiedBy>
  <cp:revision>18</cp:revision>
  <cp:lastPrinted>2022-09-18T23:56:00Z</cp:lastPrinted>
  <dcterms:created xsi:type="dcterms:W3CDTF">2022-09-10T16:25:00Z</dcterms:created>
  <dcterms:modified xsi:type="dcterms:W3CDTF">2022-09-18T23:56:00Z</dcterms:modified>
</cp:coreProperties>
</file>