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Взять на сайте Минфина и СРО ААС, какой сейчас с 01.01.22  действует кодекс этики и правила независимости. На основании этих документов сделать главу 1 — и определения в разделе 1.1, и нормативную базу в разделе 1.2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колько сейчас СРОА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Это все нужно отразить начале раздела 2.1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В списке источников не менее 30 штук, не менее половины из них электронные и правильно оформленные, вот так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Рейтинговое агентство «Эксперт РА» подтвердило рейтинг финансовой надежности страховой компании «Согласие»: сайт РА «Эксперт». [Электронный ресурс]. – Режим доступа: https://raexpert.ru/releases/2020/may29c (дата обращения 26.10.2022)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В работе практически нет аналитики. Раздел 2.2 нужно начать со вступления, что ч с чем сравнивается, а все остальное нужно превратить в несколько таблиц: Было-Стало-Цель изменений. Нужно сравнивать кодекс действующий с 01.01.22 с кодексом от 2019 года. По итогам каждой таблицы — два-три предложения выводов об этих изменениях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Глава 3 не нужна, достаточно пары страниц выводов в конце главы 3. Это должен быть раздел 2.3 «Аудиторская этика в изменившихся социально-экономических реалиях». Использовать только источники августа-октября 2022 года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