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BE91" w14:textId="75E6E930" w:rsidR="00487DC7" w:rsidRDefault="00487DC7" w:rsidP="00487DC7">
      <w:pPr>
        <w:pStyle w:val="1"/>
        <w:spacing w:line="276" w:lineRule="auto"/>
        <w:ind w:left="0" w:right="2"/>
      </w:pPr>
      <w:r>
        <w:t>Практическая работа № 3 «Расчет сметы затрат на производство</w:t>
      </w:r>
      <w:r>
        <w:rPr>
          <w:spacing w:val="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(оказание</w:t>
      </w:r>
      <w:r>
        <w:rPr>
          <w:spacing w:val="-2"/>
        </w:rPr>
        <w:t xml:space="preserve"> </w:t>
      </w:r>
      <w:r>
        <w:t>услуг)»</w:t>
      </w:r>
    </w:p>
    <w:p w14:paraId="2A089186" w14:textId="70F3EE7C" w:rsidR="00487DC7" w:rsidRPr="00487DC7" w:rsidRDefault="00487DC7" w:rsidP="00487DC7">
      <w:pPr>
        <w:pStyle w:val="a3"/>
        <w:spacing w:before="316" w:line="276" w:lineRule="auto"/>
        <w:ind w:right="2" w:firstLine="568"/>
        <w:jc w:val="both"/>
      </w:pPr>
      <w:r w:rsidRPr="00487DC7">
        <w:t xml:space="preserve">В работе необходимо: определить ассортимент и объем выпускаемой продукции (на самостоятельно выбранном предприятии) в течение одного года; рассчитать смету затрат на производство продукции или оказание </w:t>
      </w:r>
      <w:r w:rsidRPr="00487DC7">
        <w:t>услуг в течение</w:t>
      </w:r>
      <w:r w:rsidRPr="00487DC7">
        <w:t xml:space="preserve"> одного года.</w:t>
      </w:r>
    </w:p>
    <w:p w14:paraId="25C39B25" w14:textId="7D0C1207" w:rsidR="00487DC7" w:rsidRPr="00487DC7" w:rsidRDefault="00487DC7" w:rsidP="00487DC7">
      <w:pPr>
        <w:pStyle w:val="a3"/>
        <w:spacing w:before="3" w:line="273" w:lineRule="auto"/>
        <w:ind w:right="2" w:firstLine="568"/>
        <w:jc w:val="both"/>
      </w:pPr>
      <w:r w:rsidRPr="00487DC7">
        <w:t>В состав сметной стоимости продукции входят следующие статьи затрат:</w:t>
      </w:r>
    </w:p>
    <w:p w14:paraId="5C23AFA2" w14:textId="1B4923BE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206" w:line="276" w:lineRule="auto"/>
        <w:ind w:left="0" w:right="2" w:firstLine="284"/>
        <w:jc w:val="both"/>
        <w:rPr>
          <w:sz w:val="28"/>
        </w:rPr>
      </w:pPr>
      <w:r w:rsidRPr="00487DC7">
        <w:rPr>
          <w:sz w:val="28"/>
        </w:rPr>
        <w:t xml:space="preserve">Затраты на основные и вспомогательные материалы, покупные изделия и полуфабрикаты (рассчитываются с учетом плана годовой потребности </w:t>
      </w:r>
      <w:r>
        <w:rPr>
          <w:sz w:val="28"/>
        </w:rPr>
        <w:t>в</w:t>
      </w:r>
      <w:r w:rsidRPr="00487DC7">
        <w:rPr>
          <w:sz w:val="28"/>
        </w:rPr>
        <w:t xml:space="preserve"> них), (этап 1);</w:t>
      </w:r>
    </w:p>
    <w:p w14:paraId="6015C7D8" w14:textId="77777777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2"/>
        <w:ind w:left="0" w:right="2" w:firstLine="284"/>
        <w:rPr>
          <w:sz w:val="28"/>
        </w:rPr>
      </w:pPr>
      <w:r w:rsidRPr="00487DC7">
        <w:rPr>
          <w:sz w:val="28"/>
        </w:rPr>
        <w:t>Стоимость топлива и энергии для технологических целей (этап 2);</w:t>
      </w:r>
    </w:p>
    <w:p w14:paraId="3EA09C2F" w14:textId="5FECF6AE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46"/>
        <w:ind w:left="0" w:right="2" w:firstLine="284"/>
        <w:rPr>
          <w:sz w:val="28"/>
        </w:rPr>
      </w:pPr>
      <w:r w:rsidRPr="00487DC7">
        <w:rPr>
          <w:sz w:val="28"/>
        </w:rPr>
        <w:t>Зарплата персоналу (основная и дополнительная) (этап 3);</w:t>
      </w:r>
    </w:p>
    <w:p w14:paraId="32949470" w14:textId="77777777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50"/>
        <w:ind w:left="0" w:right="2" w:firstLine="284"/>
        <w:rPr>
          <w:sz w:val="28"/>
        </w:rPr>
      </w:pPr>
      <w:r w:rsidRPr="00487DC7">
        <w:rPr>
          <w:sz w:val="28"/>
        </w:rPr>
        <w:t>Взносы во внебюджетные фонды (этап 4);</w:t>
      </w:r>
    </w:p>
    <w:p w14:paraId="090F4C9B" w14:textId="77777777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46"/>
        <w:ind w:left="0" w:right="2" w:firstLine="284"/>
        <w:rPr>
          <w:sz w:val="28"/>
        </w:rPr>
      </w:pPr>
      <w:r w:rsidRPr="00487DC7">
        <w:rPr>
          <w:sz w:val="28"/>
        </w:rPr>
        <w:t>Амортизационные отчисления (этап 5);</w:t>
      </w:r>
    </w:p>
    <w:p w14:paraId="2AFA8777" w14:textId="20C05611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50" w:line="273" w:lineRule="auto"/>
        <w:ind w:left="0" w:right="2" w:firstLine="284"/>
        <w:rPr>
          <w:sz w:val="28"/>
        </w:rPr>
      </w:pPr>
      <w:r w:rsidRPr="00487DC7">
        <w:rPr>
          <w:sz w:val="28"/>
        </w:rPr>
        <w:t>Другие расходы (контрагентские работы, затраты на командировки и др.) (этап 6);</w:t>
      </w:r>
    </w:p>
    <w:p w14:paraId="682B99B3" w14:textId="77777777" w:rsidR="00487DC7" w:rsidRPr="00487DC7" w:rsidRDefault="00487DC7" w:rsidP="003C54AE">
      <w:pPr>
        <w:pStyle w:val="a5"/>
        <w:numPr>
          <w:ilvl w:val="0"/>
          <w:numId w:val="1"/>
        </w:numPr>
        <w:tabs>
          <w:tab w:val="left" w:pos="567"/>
        </w:tabs>
        <w:spacing w:before="6"/>
        <w:ind w:left="0" w:right="2" w:firstLine="284"/>
        <w:rPr>
          <w:sz w:val="28"/>
        </w:rPr>
      </w:pPr>
      <w:r w:rsidRPr="00487DC7">
        <w:rPr>
          <w:sz w:val="28"/>
        </w:rPr>
        <w:t>Накладные расходы (этап 7).</w:t>
      </w:r>
    </w:p>
    <w:p w14:paraId="6BB44E14" w14:textId="5A1A59A9" w:rsidR="00487DC7" w:rsidRPr="00487DC7" w:rsidRDefault="00487DC7" w:rsidP="00487DC7">
      <w:pPr>
        <w:spacing w:before="251" w:line="273" w:lineRule="auto"/>
        <w:ind w:right="2" w:firstLine="568"/>
        <w:jc w:val="both"/>
        <w:rPr>
          <w:i/>
          <w:sz w:val="28"/>
        </w:rPr>
      </w:pPr>
      <w:r w:rsidRPr="00487DC7">
        <w:rPr>
          <w:i/>
          <w:sz w:val="28"/>
        </w:rPr>
        <w:t>Этап 1. Расчет затрат на основные и вспомогательные материалы, покупные изделия и полуфабрикаты</w:t>
      </w:r>
      <w:r>
        <w:rPr>
          <w:i/>
          <w:sz w:val="28"/>
        </w:rPr>
        <w:t>.</w:t>
      </w:r>
    </w:p>
    <w:p w14:paraId="7F243E3D" w14:textId="29FF7A8E" w:rsidR="00487DC7" w:rsidRPr="00487DC7" w:rsidRDefault="00487DC7" w:rsidP="00487DC7">
      <w:pPr>
        <w:pStyle w:val="a3"/>
        <w:spacing w:before="5" w:line="276" w:lineRule="auto"/>
        <w:ind w:right="2" w:firstLine="568"/>
        <w:jc w:val="both"/>
      </w:pPr>
      <w:r w:rsidRPr="00487DC7">
        <w:t>Затраты на сырье и материалы рассчитываются путем умножения нормы расхода на данное изделие на цену соответствующего вида материальных ресурсов. К результату прибавляют транспортно-заготовительные расходы и вычитают стоимость возвратных отходов. Расчетные данные заносятся в таблицу 3.1.</w:t>
      </w:r>
    </w:p>
    <w:p w14:paraId="2C74966F" w14:textId="77777777" w:rsidR="00487DC7" w:rsidRPr="00487DC7" w:rsidRDefault="00487DC7" w:rsidP="00487DC7">
      <w:pPr>
        <w:pStyle w:val="a3"/>
        <w:spacing w:before="6"/>
        <w:ind w:right="2" w:firstLine="568"/>
        <w:rPr>
          <w:sz w:val="10"/>
        </w:rPr>
      </w:pPr>
    </w:p>
    <w:p w14:paraId="0FBBE5F0" w14:textId="77777777" w:rsidR="00487DC7" w:rsidRPr="00487DC7" w:rsidRDefault="00487DC7" w:rsidP="00487DC7">
      <w:pPr>
        <w:spacing w:before="89"/>
        <w:ind w:right="2" w:firstLine="568"/>
        <w:jc w:val="right"/>
        <w:rPr>
          <w:b/>
          <w:sz w:val="28"/>
        </w:rPr>
      </w:pPr>
      <w:r w:rsidRPr="00487DC7">
        <w:rPr>
          <w:b/>
          <w:sz w:val="28"/>
        </w:rPr>
        <w:t>Таблица 3.1</w:t>
      </w:r>
    </w:p>
    <w:p w14:paraId="212F4B60" w14:textId="77777777" w:rsidR="00487DC7" w:rsidRPr="00487DC7" w:rsidRDefault="00487DC7" w:rsidP="00487DC7">
      <w:pPr>
        <w:ind w:right="2" w:firstLine="568"/>
        <w:jc w:val="center"/>
        <w:rPr>
          <w:b/>
          <w:sz w:val="28"/>
        </w:rPr>
      </w:pPr>
      <w:r w:rsidRPr="00487DC7">
        <w:rPr>
          <w:b/>
          <w:sz w:val="28"/>
        </w:rPr>
        <w:t>Стоимость материалов, покупных изделий и полуфабрикатов</w:t>
      </w:r>
    </w:p>
    <w:p w14:paraId="2E6B57AD" w14:textId="77777777" w:rsidR="00487DC7" w:rsidRPr="00487DC7" w:rsidRDefault="00487DC7" w:rsidP="00487DC7">
      <w:pPr>
        <w:pStyle w:val="a3"/>
        <w:spacing w:before="11"/>
        <w:ind w:right="2" w:firstLine="568"/>
        <w:rPr>
          <w:b/>
          <w:sz w:val="23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78"/>
        <w:gridCol w:w="1272"/>
        <w:gridCol w:w="1192"/>
        <w:gridCol w:w="1392"/>
        <w:gridCol w:w="1152"/>
        <w:gridCol w:w="1553"/>
      </w:tblGrid>
      <w:tr w:rsidR="00487DC7" w:rsidRPr="00487DC7" w14:paraId="23303483" w14:textId="77777777" w:rsidTr="003C54AE">
        <w:trPr>
          <w:trHeight w:val="1970"/>
        </w:trPr>
        <w:tc>
          <w:tcPr>
            <w:tcW w:w="709" w:type="dxa"/>
          </w:tcPr>
          <w:p w14:paraId="670F4B5B" w14:textId="77777777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</w:rPr>
            </w:pPr>
            <w:r w:rsidRPr="00487DC7">
              <w:rPr>
                <w:b/>
              </w:rPr>
              <w:t>№ п/п</w:t>
            </w:r>
          </w:p>
        </w:tc>
        <w:tc>
          <w:tcPr>
            <w:tcW w:w="3078" w:type="dxa"/>
          </w:tcPr>
          <w:p w14:paraId="50CAD526" w14:textId="1AD4F4D8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  <w:lang w:val="ru-RU"/>
              </w:rPr>
            </w:pPr>
            <w:r w:rsidRPr="00487DC7">
              <w:rPr>
                <w:b/>
                <w:lang w:val="ru-RU"/>
              </w:rPr>
              <w:t>Наименование материалов, покупных изделий и полуфабрикатов</w:t>
            </w:r>
          </w:p>
        </w:tc>
        <w:tc>
          <w:tcPr>
            <w:tcW w:w="1272" w:type="dxa"/>
          </w:tcPr>
          <w:p w14:paraId="105FECA6" w14:textId="0430CB44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</w:rPr>
            </w:pPr>
            <w:r w:rsidRPr="00487DC7">
              <w:rPr>
                <w:b/>
              </w:rPr>
              <w:t>Ед. измерения</w:t>
            </w:r>
          </w:p>
        </w:tc>
        <w:tc>
          <w:tcPr>
            <w:tcW w:w="1192" w:type="dxa"/>
          </w:tcPr>
          <w:p w14:paraId="4B06479D" w14:textId="77777777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</w:rPr>
            </w:pPr>
            <w:r w:rsidRPr="00487DC7">
              <w:rPr>
                <w:b/>
              </w:rPr>
              <w:t>Цена единицы (руб.)</w:t>
            </w:r>
          </w:p>
        </w:tc>
        <w:tc>
          <w:tcPr>
            <w:tcW w:w="1392" w:type="dxa"/>
          </w:tcPr>
          <w:p w14:paraId="4AF62B6D" w14:textId="77777777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</w:rPr>
            </w:pPr>
            <w:r w:rsidRPr="00487DC7">
              <w:rPr>
                <w:b/>
              </w:rPr>
              <w:t>Количество (ед. измер.)</w:t>
            </w:r>
          </w:p>
        </w:tc>
        <w:tc>
          <w:tcPr>
            <w:tcW w:w="1152" w:type="dxa"/>
          </w:tcPr>
          <w:p w14:paraId="60ECC2D2" w14:textId="77777777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</w:rPr>
            </w:pPr>
            <w:r w:rsidRPr="00487DC7">
              <w:rPr>
                <w:b/>
              </w:rPr>
              <w:t>Сумма (руб.)</w:t>
            </w:r>
          </w:p>
        </w:tc>
        <w:tc>
          <w:tcPr>
            <w:tcW w:w="1553" w:type="dxa"/>
          </w:tcPr>
          <w:p w14:paraId="75FAE467" w14:textId="0C971829" w:rsidR="00487DC7" w:rsidRPr="00487DC7" w:rsidRDefault="00487DC7" w:rsidP="00487DC7">
            <w:pPr>
              <w:pStyle w:val="TableParagraph"/>
              <w:spacing w:before="1"/>
              <w:ind w:right="2"/>
              <w:rPr>
                <w:b/>
                <w:lang w:val="ru-RU"/>
              </w:rPr>
            </w:pPr>
            <w:r w:rsidRPr="00487DC7">
              <w:rPr>
                <w:b/>
                <w:lang w:val="ru-RU"/>
              </w:rPr>
              <w:t>Итого затрат с учетом трансп.-загот.</w:t>
            </w:r>
          </w:p>
          <w:p w14:paraId="351935C2" w14:textId="77777777" w:rsidR="00487DC7" w:rsidRPr="00487DC7" w:rsidRDefault="00487DC7" w:rsidP="00487DC7">
            <w:pPr>
              <w:pStyle w:val="TableParagraph"/>
              <w:ind w:right="2"/>
              <w:rPr>
                <w:b/>
              </w:rPr>
            </w:pPr>
            <w:r w:rsidRPr="00487DC7">
              <w:rPr>
                <w:b/>
              </w:rPr>
              <w:t>расх. (руб.)</w:t>
            </w:r>
          </w:p>
        </w:tc>
      </w:tr>
      <w:tr w:rsidR="00487DC7" w:rsidRPr="00487DC7" w14:paraId="6892C8F5" w14:textId="77777777" w:rsidTr="003C54AE">
        <w:trPr>
          <w:trHeight w:val="449"/>
        </w:trPr>
        <w:tc>
          <w:tcPr>
            <w:tcW w:w="709" w:type="dxa"/>
          </w:tcPr>
          <w:p w14:paraId="0B5B41B0" w14:textId="2A928DCD" w:rsidR="00487DC7" w:rsidRPr="00487DC7" w:rsidRDefault="00487DC7" w:rsidP="00487DC7">
            <w:pPr>
              <w:pStyle w:val="TableParagraph"/>
              <w:spacing w:before="121"/>
              <w:ind w:right="2"/>
              <w:rPr>
                <w:b/>
              </w:rPr>
            </w:pPr>
            <w:r w:rsidRPr="00487DC7">
              <w:rPr>
                <w:b/>
              </w:rPr>
              <w:t>1</w:t>
            </w:r>
          </w:p>
        </w:tc>
        <w:tc>
          <w:tcPr>
            <w:tcW w:w="3078" w:type="dxa"/>
          </w:tcPr>
          <w:p w14:paraId="46F3A3FA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14:paraId="0BE679A7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92" w:type="dxa"/>
          </w:tcPr>
          <w:p w14:paraId="23D5A841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92" w:type="dxa"/>
          </w:tcPr>
          <w:p w14:paraId="56A47C03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52" w:type="dxa"/>
          </w:tcPr>
          <w:p w14:paraId="7F3653FB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553" w:type="dxa"/>
          </w:tcPr>
          <w:p w14:paraId="6240BCAB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581ECB99" w14:textId="77777777" w:rsidTr="003C54AE">
        <w:trPr>
          <w:trHeight w:val="449"/>
        </w:trPr>
        <w:tc>
          <w:tcPr>
            <w:tcW w:w="709" w:type="dxa"/>
          </w:tcPr>
          <w:p w14:paraId="188444B3" w14:textId="00A01783" w:rsidR="00487DC7" w:rsidRPr="00487DC7" w:rsidRDefault="00487DC7" w:rsidP="00487DC7">
            <w:pPr>
              <w:pStyle w:val="TableParagraph"/>
              <w:spacing w:before="121"/>
              <w:ind w:right="2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078" w:type="dxa"/>
          </w:tcPr>
          <w:p w14:paraId="254C38EE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14:paraId="7830DB3F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92" w:type="dxa"/>
          </w:tcPr>
          <w:p w14:paraId="05580975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92" w:type="dxa"/>
          </w:tcPr>
          <w:p w14:paraId="1D6F93DD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52" w:type="dxa"/>
          </w:tcPr>
          <w:p w14:paraId="5C884E44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553" w:type="dxa"/>
          </w:tcPr>
          <w:p w14:paraId="742F5D64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16D4E722" w14:textId="77777777" w:rsidTr="003C54AE">
        <w:trPr>
          <w:trHeight w:val="453"/>
        </w:trPr>
        <w:tc>
          <w:tcPr>
            <w:tcW w:w="709" w:type="dxa"/>
          </w:tcPr>
          <w:p w14:paraId="4161D184" w14:textId="18B2BD08" w:rsidR="00487DC7" w:rsidRPr="00487DC7" w:rsidRDefault="00487DC7" w:rsidP="00487DC7">
            <w:pPr>
              <w:pStyle w:val="TableParagraph"/>
              <w:spacing w:before="121"/>
              <w:ind w:right="2" w:firstLine="568"/>
              <w:jc w:val="left"/>
              <w:rPr>
                <w:b/>
              </w:rPr>
            </w:pPr>
          </w:p>
        </w:tc>
        <w:tc>
          <w:tcPr>
            <w:tcW w:w="3078" w:type="dxa"/>
          </w:tcPr>
          <w:p w14:paraId="60AF8D4B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14:paraId="49CC5601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92" w:type="dxa"/>
          </w:tcPr>
          <w:p w14:paraId="3F0C4373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92" w:type="dxa"/>
          </w:tcPr>
          <w:p w14:paraId="54845982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52" w:type="dxa"/>
          </w:tcPr>
          <w:p w14:paraId="746ABC0C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553" w:type="dxa"/>
          </w:tcPr>
          <w:p w14:paraId="3DBD00CF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28DDB71F" w14:textId="77777777" w:rsidTr="003C54AE">
        <w:trPr>
          <w:trHeight w:val="454"/>
        </w:trPr>
        <w:tc>
          <w:tcPr>
            <w:tcW w:w="709" w:type="dxa"/>
          </w:tcPr>
          <w:p w14:paraId="00B3C657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3078" w:type="dxa"/>
          </w:tcPr>
          <w:p w14:paraId="0BCCB9EC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14:paraId="48053CB2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92" w:type="dxa"/>
          </w:tcPr>
          <w:p w14:paraId="0BF65338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92" w:type="dxa"/>
          </w:tcPr>
          <w:p w14:paraId="03E33F59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52" w:type="dxa"/>
          </w:tcPr>
          <w:p w14:paraId="4001EF0E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553" w:type="dxa"/>
          </w:tcPr>
          <w:p w14:paraId="253CCEFE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1D2256ED" w14:textId="77777777" w:rsidTr="003C54AE">
        <w:trPr>
          <w:trHeight w:val="449"/>
        </w:trPr>
        <w:tc>
          <w:tcPr>
            <w:tcW w:w="709" w:type="dxa"/>
          </w:tcPr>
          <w:p w14:paraId="5CC6F9BA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3078" w:type="dxa"/>
          </w:tcPr>
          <w:p w14:paraId="586729C3" w14:textId="77777777" w:rsidR="00487DC7" w:rsidRPr="00487DC7" w:rsidRDefault="00487DC7" w:rsidP="00487DC7">
            <w:pPr>
              <w:pStyle w:val="TableParagraph"/>
              <w:spacing w:line="250" w:lineRule="exact"/>
              <w:ind w:right="2" w:firstLine="568"/>
              <w:jc w:val="left"/>
              <w:rPr>
                <w:b/>
              </w:rPr>
            </w:pPr>
            <w:r w:rsidRPr="00487DC7">
              <w:rPr>
                <w:b/>
              </w:rPr>
              <w:t>ИТОГО</w:t>
            </w:r>
          </w:p>
        </w:tc>
        <w:tc>
          <w:tcPr>
            <w:tcW w:w="1272" w:type="dxa"/>
          </w:tcPr>
          <w:p w14:paraId="08BA0BD7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92" w:type="dxa"/>
          </w:tcPr>
          <w:p w14:paraId="6464DD18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92" w:type="dxa"/>
          </w:tcPr>
          <w:p w14:paraId="0C82BF15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152" w:type="dxa"/>
          </w:tcPr>
          <w:p w14:paraId="0EE9488C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553" w:type="dxa"/>
          </w:tcPr>
          <w:p w14:paraId="2690D404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</w:tbl>
    <w:p w14:paraId="496D81C9" w14:textId="77777777" w:rsidR="00487DC7" w:rsidRPr="00487DC7" w:rsidRDefault="00487DC7" w:rsidP="00487DC7">
      <w:pPr>
        <w:pStyle w:val="a3"/>
        <w:spacing w:before="10"/>
        <w:ind w:right="2" w:firstLine="568"/>
        <w:rPr>
          <w:b/>
          <w:sz w:val="15"/>
        </w:rPr>
      </w:pPr>
    </w:p>
    <w:p w14:paraId="0918E4FF" w14:textId="77777777" w:rsidR="00487DC7" w:rsidRPr="00487DC7" w:rsidRDefault="00487DC7" w:rsidP="00487DC7">
      <w:pPr>
        <w:ind w:right="2" w:firstLine="568"/>
        <w:rPr>
          <w:sz w:val="15"/>
        </w:rPr>
        <w:sectPr w:rsidR="00487DC7" w:rsidRPr="00487DC7">
          <w:pgSz w:w="11910" w:h="16840"/>
          <w:pgMar w:top="960" w:right="360" w:bottom="280" w:left="1200" w:header="751" w:footer="0" w:gutter="0"/>
          <w:cols w:space="720"/>
        </w:sectPr>
      </w:pPr>
    </w:p>
    <w:p w14:paraId="46AE49EE" w14:textId="77777777" w:rsidR="00487DC7" w:rsidRPr="00487DC7" w:rsidRDefault="00487DC7" w:rsidP="00487DC7">
      <w:pPr>
        <w:ind w:right="2" w:firstLine="568"/>
        <w:sectPr w:rsidR="00487DC7" w:rsidRPr="00487DC7">
          <w:type w:val="continuous"/>
          <w:pgSz w:w="11910" w:h="16840"/>
          <w:pgMar w:top="960" w:right="360" w:bottom="280" w:left="1200" w:header="720" w:footer="720" w:gutter="0"/>
          <w:cols w:num="2" w:space="720" w:equalWidth="0">
            <w:col w:w="889" w:space="40"/>
            <w:col w:w="9421"/>
          </w:cols>
        </w:sectPr>
      </w:pPr>
    </w:p>
    <w:p w14:paraId="18A2FC44" w14:textId="3FEE9172" w:rsidR="00487DC7" w:rsidRDefault="00487DC7" w:rsidP="00487DC7">
      <w:pPr>
        <w:pStyle w:val="a3"/>
        <w:spacing w:before="50"/>
        <w:ind w:right="2" w:firstLine="568"/>
        <w:jc w:val="both"/>
      </w:pPr>
      <w:r w:rsidRPr="00487DC7">
        <w:rPr>
          <w:i/>
        </w:rPr>
        <w:lastRenderedPageBreak/>
        <w:t>Этап 2. Расчет затрат на топливо и энергию для технологических це</w:t>
      </w:r>
      <w:r>
        <w:rPr>
          <w:i/>
        </w:rPr>
        <w:t>лей.</w:t>
      </w:r>
    </w:p>
    <w:p w14:paraId="27570EEC" w14:textId="5EADA48F" w:rsidR="00487DC7" w:rsidRPr="00487DC7" w:rsidRDefault="00487DC7" w:rsidP="00487DC7">
      <w:pPr>
        <w:pStyle w:val="a3"/>
        <w:spacing w:before="50"/>
        <w:ind w:right="2" w:firstLine="568"/>
        <w:jc w:val="both"/>
      </w:pPr>
      <w:r w:rsidRPr="00487DC7">
        <w:t>Затраты рассчитываются путем умножения нормы расхода топливно-</w:t>
      </w:r>
      <w:r>
        <w:t>э</w:t>
      </w:r>
      <w:r w:rsidRPr="00487DC7">
        <w:t>нергетических ресурсов на единицу продукции на соответствующие цены.</w:t>
      </w:r>
    </w:p>
    <w:p w14:paraId="51E436F2" w14:textId="7123F05E" w:rsidR="00487DC7" w:rsidRPr="00487DC7" w:rsidRDefault="00487DC7" w:rsidP="00487DC7">
      <w:pPr>
        <w:pStyle w:val="a3"/>
        <w:spacing w:before="46" w:line="278" w:lineRule="auto"/>
        <w:ind w:right="2" w:firstLine="568"/>
        <w:jc w:val="both"/>
      </w:pPr>
      <w:r w:rsidRPr="00487DC7">
        <w:t>Затраты на освещение, отопление и пр. учитываются в накладных расходах.</w:t>
      </w:r>
    </w:p>
    <w:p w14:paraId="3B1CB922" w14:textId="77777777" w:rsidR="00487DC7" w:rsidRPr="00487DC7" w:rsidRDefault="00487DC7" w:rsidP="00487DC7">
      <w:pPr>
        <w:pStyle w:val="a3"/>
        <w:spacing w:line="278" w:lineRule="auto"/>
        <w:ind w:right="2" w:firstLine="568"/>
        <w:jc w:val="both"/>
      </w:pPr>
      <w:r w:rsidRPr="00487DC7">
        <w:t>Затраты на электроэнергию для технологических целей определяются по формуле:</w:t>
      </w:r>
    </w:p>
    <w:p w14:paraId="1833AFC6" w14:textId="0057B04E" w:rsidR="00487DC7" w:rsidRPr="00487DC7" w:rsidRDefault="00487DC7" w:rsidP="00487DC7">
      <w:pPr>
        <w:pStyle w:val="a3"/>
        <w:spacing w:before="3"/>
        <w:ind w:right="2" w:firstLine="568"/>
      </w:pPr>
      <w:r>
        <w:rPr>
          <w:noProof/>
        </w:rPr>
        <w:drawing>
          <wp:inline distT="0" distB="0" distL="0" distR="0" wp14:anchorId="3F1357B5" wp14:editId="64189D82">
            <wp:extent cx="4209524" cy="1476190"/>
            <wp:effectExtent l="0" t="0" r="635" b="0"/>
            <wp:docPr id="1" name="Рисунок 1" descr="Изображение выглядит как текст, внутренни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внутренний, снимок экран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759F" w14:textId="77777777" w:rsidR="003C54AE" w:rsidRDefault="003C54AE" w:rsidP="00487DC7">
      <w:pPr>
        <w:spacing w:before="1" w:line="321" w:lineRule="exact"/>
        <w:ind w:right="2" w:firstLine="568"/>
        <w:jc w:val="both"/>
        <w:rPr>
          <w:i/>
          <w:sz w:val="28"/>
        </w:rPr>
      </w:pPr>
    </w:p>
    <w:p w14:paraId="11EAF57B" w14:textId="1554609F" w:rsidR="00487DC7" w:rsidRPr="00487DC7" w:rsidRDefault="00487DC7" w:rsidP="00487DC7">
      <w:pPr>
        <w:spacing w:before="1" w:line="321" w:lineRule="exact"/>
        <w:ind w:right="2" w:firstLine="568"/>
        <w:jc w:val="both"/>
        <w:rPr>
          <w:i/>
          <w:sz w:val="28"/>
        </w:rPr>
      </w:pPr>
      <w:r w:rsidRPr="00487DC7">
        <w:rPr>
          <w:i/>
          <w:sz w:val="28"/>
        </w:rPr>
        <w:t>Этап 3. Расчет затрат на заработную плату персонала</w:t>
      </w:r>
      <w:r>
        <w:rPr>
          <w:i/>
          <w:sz w:val="28"/>
        </w:rPr>
        <w:t>.</w:t>
      </w:r>
    </w:p>
    <w:p w14:paraId="7DD82C26" w14:textId="554F95B4" w:rsidR="00487DC7" w:rsidRPr="00487DC7" w:rsidRDefault="00487DC7" w:rsidP="00487DC7">
      <w:pPr>
        <w:spacing w:line="278" w:lineRule="auto"/>
        <w:ind w:right="2" w:firstLine="568"/>
        <w:jc w:val="both"/>
        <w:rPr>
          <w:sz w:val="28"/>
        </w:rPr>
      </w:pPr>
      <w:r w:rsidRPr="00487DC7">
        <w:rPr>
          <w:b/>
          <w:sz w:val="28"/>
        </w:rPr>
        <w:t>Основная заработная плата (</w:t>
      </w:r>
      <w:r w:rsidRPr="00487DC7">
        <w:rPr>
          <w:b/>
          <w:i/>
          <w:sz w:val="28"/>
        </w:rPr>
        <w:t>З</w:t>
      </w:r>
      <w:r w:rsidRPr="00487DC7">
        <w:rPr>
          <w:b/>
          <w:i/>
          <w:sz w:val="28"/>
          <w:vertAlign w:val="subscript"/>
        </w:rPr>
        <w:t>осн</w:t>
      </w:r>
      <w:r w:rsidRPr="00487DC7">
        <w:rPr>
          <w:b/>
          <w:sz w:val="28"/>
        </w:rPr>
        <w:t xml:space="preserve">) </w:t>
      </w:r>
      <w:r w:rsidRPr="00487DC7">
        <w:rPr>
          <w:sz w:val="28"/>
        </w:rPr>
        <w:t>рассчитывается по повременным и/или сдельным расценкам. В составе основной заработной платы учитываются все премии и надбавки.</w:t>
      </w:r>
    </w:p>
    <w:p w14:paraId="69229E0C" w14:textId="4CB7C670" w:rsidR="00487DC7" w:rsidRPr="00487DC7" w:rsidRDefault="00487DC7" w:rsidP="00487DC7">
      <w:pPr>
        <w:pStyle w:val="a3"/>
        <w:spacing w:line="276" w:lineRule="auto"/>
        <w:ind w:right="2" w:firstLine="568"/>
        <w:jc w:val="both"/>
      </w:pPr>
      <w:r w:rsidRPr="00487DC7">
        <w:rPr>
          <w:i/>
        </w:rPr>
        <w:t xml:space="preserve">Повременной </w:t>
      </w:r>
      <w:r w:rsidRPr="00487DC7">
        <w:t>называется такая форма оплаты труда, при которой заработная плата работникам начисляется по установленной тарифной ставке или окладу за фактически отработанное на производстве время.</w:t>
      </w:r>
    </w:p>
    <w:p w14:paraId="70161018" w14:textId="43B988CD" w:rsidR="00487DC7" w:rsidRPr="00487DC7" w:rsidRDefault="00487DC7" w:rsidP="00487DC7">
      <w:pPr>
        <w:pStyle w:val="a3"/>
        <w:spacing w:line="276" w:lineRule="auto"/>
        <w:ind w:right="2" w:firstLine="568"/>
        <w:jc w:val="both"/>
      </w:pPr>
      <w:r w:rsidRPr="00487DC7">
        <w:t xml:space="preserve">При </w:t>
      </w:r>
      <w:r w:rsidRPr="00487DC7">
        <w:rPr>
          <w:i/>
        </w:rPr>
        <w:t xml:space="preserve">сдельной </w:t>
      </w:r>
      <w:r w:rsidRPr="00487DC7">
        <w:t>форме оплаты труда заработная плата работникам начисляется по заранее установленным расценкам за каждую единицу выполненной работы или изготовленной продукции.</w:t>
      </w:r>
    </w:p>
    <w:p w14:paraId="19744B7A" w14:textId="77777777" w:rsidR="00487DC7" w:rsidRPr="00487DC7" w:rsidRDefault="00487DC7" w:rsidP="00487DC7">
      <w:pPr>
        <w:ind w:right="2" w:firstLine="568"/>
        <w:jc w:val="center"/>
        <w:rPr>
          <w:sz w:val="28"/>
        </w:rPr>
      </w:pPr>
      <w:r w:rsidRPr="00487DC7">
        <w:rPr>
          <w:b/>
          <w:sz w:val="28"/>
        </w:rPr>
        <w:t>Дополнительная заработная плата (</w:t>
      </w:r>
      <w:r w:rsidRPr="00487DC7">
        <w:rPr>
          <w:b/>
          <w:i/>
          <w:sz w:val="28"/>
        </w:rPr>
        <w:t>З</w:t>
      </w:r>
      <w:r w:rsidRPr="00487DC7">
        <w:rPr>
          <w:b/>
          <w:i/>
          <w:sz w:val="28"/>
          <w:vertAlign w:val="subscript"/>
        </w:rPr>
        <w:t>доп</w:t>
      </w:r>
      <w:r w:rsidRPr="00487DC7">
        <w:rPr>
          <w:b/>
          <w:sz w:val="28"/>
        </w:rPr>
        <w:t xml:space="preserve">) </w:t>
      </w:r>
      <w:r w:rsidRPr="00487DC7">
        <w:rPr>
          <w:sz w:val="28"/>
        </w:rPr>
        <w:t>определяется по формуле:</w:t>
      </w:r>
    </w:p>
    <w:p w14:paraId="1084370A" w14:textId="4E2C8444" w:rsidR="00487DC7" w:rsidRDefault="003C54AE" w:rsidP="00487DC7">
      <w:pPr>
        <w:pStyle w:val="a3"/>
        <w:spacing w:before="155"/>
        <w:ind w:right="2" w:firstLine="568"/>
        <w:jc w:val="center"/>
      </w:pPr>
      <w:r>
        <w:rPr>
          <w:noProof/>
        </w:rPr>
        <w:drawing>
          <wp:inline distT="0" distB="0" distL="0" distR="0" wp14:anchorId="1CDAFC12" wp14:editId="18051070">
            <wp:extent cx="1323810" cy="3142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5AE1" w14:textId="341F7708" w:rsidR="00487DC7" w:rsidRPr="00487DC7" w:rsidRDefault="00487DC7" w:rsidP="00487DC7">
      <w:pPr>
        <w:pStyle w:val="a3"/>
        <w:spacing w:before="155"/>
        <w:ind w:right="2" w:firstLine="568"/>
        <w:jc w:val="center"/>
      </w:pPr>
      <w:r w:rsidRPr="00487DC7">
        <w:t>где d – норматив затрат на дополнительную зарплату (10–15%).</w:t>
      </w:r>
    </w:p>
    <w:p w14:paraId="1E555C4E" w14:textId="77777777" w:rsidR="00487DC7" w:rsidRPr="00487DC7" w:rsidRDefault="00487DC7" w:rsidP="00487DC7">
      <w:pPr>
        <w:pStyle w:val="a3"/>
        <w:spacing w:before="6"/>
        <w:ind w:right="2" w:firstLine="568"/>
        <w:rPr>
          <w:sz w:val="41"/>
        </w:rPr>
      </w:pPr>
    </w:p>
    <w:p w14:paraId="4BC2EBC2" w14:textId="42E496C1" w:rsidR="00487DC7" w:rsidRPr="00487DC7" w:rsidRDefault="00487DC7" w:rsidP="003C54AE">
      <w:pPr>
        <w:ind w:firstLine="567"/>
        <w:rPr>
          <w:i/>
          <w:sz w:val="28"/>
        </w:rPr>
      </w:pPr>
      <w:r w:rsidRPr="00487DC7">
        <w:rPr>
          <w:i/>
          <w:sz w:val="28"/>
        </w:rPr>
        <w:t>Этап 4. Страховые взносы во внебюджетные фонды</w:t>
      </w:r>
      <w:r w:rsidR="003C54AE">
        <w:rPr>
          <w:i/>
          <w:sz w:val="28"/>
        </w:rPr>
        <w:t>.</w:t>
      </w:r>
    </w:p>
    <w:p w14:paraId="66567438" w14:textId="619C43DE" w:rsidR="00487DC7" w:rsidRPr="003C54AE" w:rsidRDefault="00487DC7" w:rsidP="003C54AE">
      <w:pPr>
        <w:ind w:firstLine="567"/>
        <w:jc w:val="both"/>
        <w:rPr>
          <w:sz w:val="28"/>
          <w:szCs w:val="28"/>
        </w:rPr>
      </w:pPr>
      <w:r w:rsidRPr="00487DC7">
        <w:rPr>
          <w:sz w:val="28"/>
        </w:rPr>
        <w:t xml:space="preserve">Предприятия платят </w:t>
      </w:r>
      <w:r w:rsidRPr="00487DC7">
        <w:rPr>
          <w:b/>
          <w:sz w:val="28"/>
        </w:rPr>
        <w:t>страховые взносы во внебюджетные фонды (</w:t>
      </w:r>
      <w:r w:rsidRPr="00487DC7">
        <w:rPr>
          <w:b/>
          <w:i/>
          <w:sz w:val="28"/>
        </w:rPr>
        <w:t>З</w:t>
      </w:r>
      <w:r w:rsidRPr="00487DC7">
        <w:rPr>
          <w:b/>
          <w:i/>
          <w:sz w:val="28"/>
          <w:vertAlign w:val="subscript"/>
        </w:rPr>
        <w:t>страх</w:t>
      </w:r>
      <w:r w:rsidRPr="00487DC7">
        <w:rPr>
          <w:b/>
          <w:sz w:val="28"/>
        </w:rPr>
        <w:t>)</w:t>
      </w:r>
      <w:r w:rsidRPr="00487DC7">
        <w:rPr>
          <w:sz w:val="28"/>
        </w:rPr>
        <w:t xml:space="preserve">: в Пенсионный фонд РФ; в Фонд социального страхования; в Фонд обязательного медицинского страхования. </w:t>
      </w:r>
      <w:r w:rsidRPr="003C54AE">
        <w:rPr>
          <w:sz w:val="28"/>
          <w:szCs w:val="28"/>
        </w:rPr>
        <w:t>Базой для расчета налога является</w:t>
      </w:r>
      <w:r w:rsidR="003C54AE" w:rsidRPr="003C54AE">
        <w:rPr>
          <w:sz w:val="28"/>
          <w:szCs w:val="28"/>
        </w:rPr>
        <w:t xml:space="preserve"> </w:t>
      </w:r>
      <w:r w:rsidRPr="003C54AE">
        <w:rPr>
          <w:sz w:val="28"/>
          <w:szCs w:val="28"/>
        </w:rPr>
        <w:t>сумма основной и дополнительной заработной платы. Ставка налога определяется действующим законодательством.</w:t>
      </w:r>
    </w:p>
    <w:p w14:paraId="5544B70F" w14:textId="567854A9" w:rsidR="00487DC7" w:rsidRPr="00487DC7" w:rsidRDefault="00487DC7" w:rsidP="00487DC7">
      <w:pPr>
        <w:spacing w:before="173" w:line="321" w:lineRule="exact"/>
        <w:ind w:right="2" w:firstLine="568"/>
        <w:jc w:val="both"/>
        <w:rPr>
          <w:i/>
          <w:sz w:val="28"/>
        </w:rPr>
      </w:pPr>
      <w:r w:rsidRPr="00487DC7">
        <w:rPr>
          <w:i/>
          <w:sz w:val="28"/>
        </w:rPr>
        <w:t>Этап 5. Расчет амортизационных отчислений</w:t>
      </w:r>
      <w:r w:rsidR="003C54AE">
        <w:rPr>
          <w:i/>
          <w:sz w:val="28"/>
        </w:rPr>
        <w:t>.</w:t>
      </w:r>
    </w:p>
    <w:p w14:paraId="3A769030" w14:textId="28D9342B" w:rsidR="003C54AE" w:rsidRDefault="00487DC7" w:rsidP="003C54AE">
      <w:pPr>
        <w:pStyle w:val="a3"/>
        <w:spacing w:line="276" w:lineRule="auto"/>
        <w:ind w:right="2" w:firstLine="568"/>
        <w:jc w:val="both"/>
        <w:rPr>
          <w:b/>
        </w:rPr>
      </w:pPr>
      <w:r w:rsidRPr="00487DC7">
        <w:rPr>
          <w:b/>
        </w:rPr>
        <w:t xml:space="preserve">Амортизационные отчисления </w:t>
      </w:r>
      <w:r w:rsidRPr="00487DC7">
        <w:rPr>
          <w:b/>
          <w:i/>
        </w:rPr>
        <w:t>(З</w:t>
      </w:r>
      <w:r w:rsidRPr="00487DC7">
        <w:rPr>
          <w:b/>
          <w:i/>
          <w:vertAlign w:val="subscript"/>
        </w:rPr>
        <w:t>аморт</w:t>
      </w:r>
      <w:r w:rsidRPr="00487DC7">
        <w:rPr>
          <w:b/>
          <w:i/>
        </w:rPr>
        <w:t xml:space="preserve">) </w:t>
      </w:r>
      <w:r w:rsidRPr="00487DC7">
        <w:t>формируют амортизационный фонд предприятия, предназначенный для возмещения стоимости основных производственных фондов. Расчетные данные по каждому виду ОПФ заносятся в таблицу 3.2.</w:t>
      </w:r>
      <w:r w:rsidR="003C54AE">
        <w:rPr>
          <w:b/>
        </w:rPr>
        <w:br w:type="page"/>
      </w:r>
    </w:p>
    <w:p w14:paraId="6832A032" w14:textId="4D330C95" w:rsidR="00487DC7" w:rsidRPr="00487DC7" w:rsidRDefault="00487DC7" w:rsidP="003C54AE">
      <w:pPr>
        <w:spacing w:before="10" w:line="321" w:lineRule="exact"/>
        <w:ind w:right="2" w:firstLine="568"/>
        <w:jc w:val="right"/>
        <w:rPr>
          <w:b/>
          <w:sz w:val="28"/>
        </w:rPr>
      </w:pPr>
      <w:r w:rsidRPr="00487DC7">
        <w:rPr>
          <w:b/>
          <w:sz w:val="28"/>
        </w:rPr>
        <w:lastRenderedPageBreak/>
        <w:t>Таблица 3.2</w:t>
      </w:r>
    </w:p>
    <w:p w14:paraId="79387D78" w14:textId="77777777" w:rsidR="00487DC7" w:rsidRPr="00487DC7" w:rsidRDefault="00487DC7" w:rsidP="00487DC7">
      <w:pPr>
        <w:spacing w:line="321" w:lineRule="exact"/>
        <w:ind w:right="2" w:firstLine="568"/>
        <w:jc w:val="center"/>
        <w:rPr>
          <w:b/>
          <w:sz w:val="28"/>
        </w:rPr>
      </w:pPr>
      <w:r w:rsidRPr="00487DC7">
        <w:rPr>
          <w:b/>
          <w:sz w:val="28"/>
        </w:rPr>
        <w:t>Расчет амортизационных отчислений</w:t>
      </w:r>
    </w:p>
    <w:p w14:paraId="07326699" w14:textId="77777777" w:rsidR="00487DC7" w:rsidRPr="00487DC7" w:rsidRDefault="00487DC7" w:rsidP="00487DC7">
      <w:pPr>
        <w:pStyle w:val="a3"/>
        <w:ind w:right="2" w:firstLine="568"/>
        <w:rPr>
          <w:b/>
          <w:sz w:val="24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39"/>
        <w:gridCol w:w="1379"/>
        <w:gridCol w:w="1383"/>
        <w:gridCol w:w="1379"/>
        <w:gridCol w:w="1383"/>
        <w:gridCol w:w="1901"/>
      </w:tblGrid>
      <w:tr w:rsidR="00487DC7" w:rsidRPr="00487DC7" w14:paraId="4C7980CB" w14:textId="77777777" w:rsidTr="003C54AE">
        <w:trPr>
          <w:trHeight w:val="258"/>
        </w:trPr>
        <w:tc>
          <w:tcPr>
            <w:tcW w:w="284" w:type="dxa"/>
            <w:tcBorders>
              <w:bottom w:val="nil"/>
            </w:tcBorders>
          </w:tcPr>
          <w:p w14:paraId="3396B4C1" w14:textId="77777777" w:rsidR="00487DC7" w:rsidRPr="00487DC7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</w:rPr>
            </w:pPr>
            <w:r w:rsidRPr="00487DC7">
              <w:rPr>
                <w:b/>
              </w:rPr>
              <w:t>№</w:t>
            </w:r>
          </w:p>
        </w:tc>
        <w:tc>
          <w:tcPr>
            <w:tcW w:w="2639" w:type="dxa"/>
            <w:tcBorders>
              <w:bottom w:val="nil"/>
            </w:tcBorders>
          </w:tcPr>
          <w:p w14:paraId="37A11A4B" w14:textId="77777777" w:rsidR="00487DC7" w:rsidRPr="00487DC7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</w:rPr>
            </w:pPr>
            <w:r w:rsidRPr="00487DC7">
              <w:rPr>
                <w:b/>
              </w:rPr>
              <w:t>Наименование</w:t>
            </w:r>
          </w:p>
        </w:tc>
        <w:tc>
          <w:tcPr>
            <w:tcW w:w="1379" w:type="dxa"/>
            <w:tcBorders>
              <w:bottom w:val="nil"/>
            </w:tcBorders>
          </w:tcPr>
          <w:p w14:paraId="3A7A8258" w14:textId="2E57B9F3" w:rsidR="00487DC7" w:rsidRPr="003C54AE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  <w:lang w:val="ru-RU"/>
              </w:rPr>
            </w:pPr>
            <w:r w:rsidRPr="00487DC7">
              <w:rPr>
                <w:b/>
              </w:rPr>
              <w:t>Цена еди</w:t>
            </w:r>
            <w:r w:rsidR="003C54AE">
              <w:rPr>
                <w:b/>
                <w:lang w:val="ru-RU"/>
              </w:rPr>
              <w:t>-</w:t>
            </w:r>
          </w:p>
        </w:tc>
        <w:tc>
          <w:tcPr>
            <w:tcW w:w="1383" w:type="dxa"/>
            <w:tcBorders>
              <w:bottom w:val="nil"/>
            </w:tcBorders>
          </w:tcPr>
          <w:p w14:paraId="08E72E4F" w14:textId="77777777" w:rsidR="00487DC7" w:rsidRPr="00487DC7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</w:rPr>
            </w:pPr>
            <w:r w:rsidRPr="00487DC7">
              <w:rPr>
                <w:b/>
              </w:rPr>
              <w:t>Количест-</w:t>
            </w:r>
          </w:p>
        </w:tc>
        <w:tc>
          <w:tcPr>
            <w:tcW w:w="1379" w:type="dxa"/>
            <w:tcBorders>
              <w:bottom w:val="nil"/>
            </w:tcBorders>
          </w:tcPr>
          <w:p w14:paraId="27E832FD" w14:textId="77777777" w:rsidR="00487DC7" w:rsidRPr="00487DC7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</w:rPr>
            </w:pPr>
            <w:r w:rsidRPr="00487DC7">
              <w:rPr>
                <w:b/>
              </w:rPr>
              <w:t>Норма</w:t>
            </w:r>
          </w:p>
        </w:tc>
        <w:tc>
          <w:tcPr>
            <w:tcW w:w="1383" w:type="dxa"/>
            <w:tcBorders>
              <w:bottom w:val="nil"/>
            </w:tcBorders>
          </w:tcPr>
          <w:p w14:paraId="11F8E6C9" w14:textId="77777777" w:rsidR="00487DC7" w:rsidRPr="00487DC7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</w:rPr>
            </w:pPr>
            <w:r w:rsidRPr="00487DC7">
              <w:rPr>
                <w:b/>
              </w:rPr>
              <w:t>Годовая</w:t>
            </w:r>
          </w:p>
        </w:tc>
        <w:tc>
          <w:tcPr>
            <w:tcW w:w="1901" w:type="dxa"/>
            <w:tcBorders>
              <w:bottom w:val="nil"/>
            </w:tcBorders>
          </w:tcPr>
          <w:p w14:paraId="14BA5C74" w14:textId="77777777" w:rsidR="00487DC7" w:rsidRPr="00487DC7" w:rsidRDefault="00487DC7" w:rsidP="003C54AE">
            <w:pPr>
              <w:pStyle w:val="TableParagraph"/>
              <w:spacing w:before="1" w:line="237" w:lineRule="exact"/>
              <w:ind w:right="2"/>
              <w:rPr>
                <w:b/>
              </w:rPr>
            </w:pPr>
            <w:r w:rsidRPr="00487DC7">
              <w:rPr>
                <w:b/>
              </w:rPr>
              <w:t>Итого</w:t>
            </w:r>
          </w:p>
        </w:tc>
      </w:tr>
      <w:tr w:rsidR="00487DC7" w:rsidRPr="00487DC7" w14:paraId="30D5A8B8" w14:textId="77777777" w:rsidTr="003C54AE">
        <w:trPr>
          <w:trHeight w:val="252"/>
        </w:trPr>
        <w:tc>
          <w:tcPr>
            <w:tcW w:w="284" w:type="dxa"/>
            <w:tcBorders>
              <w:top w:val="nil"/>
              <w:bottom w:val="nil"/>
            </w:tcBorders>
          </w:tcPr>
          <w:p w14:paraId="6C4EBD7E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14:paraId="23C86B22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оборудования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5AC2C19B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ницы обо-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C8A315E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во обору-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5C94F016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амортиза-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8CB6F75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сумма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F7FB1D3" w14:textId="68DE07AC" w:rsidR="00487DC7" w:rsidRPr="003C54AE" w:rsidRDefault="003C54AE" w:rsidP="003C54AE">
            <w:pPr>
              <w:pStyle w:val="TableParagraph"/>
              <w:spacing w:line="232" w:lineRule="exact"/>
              <w:ind w:right="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  <w:r w:rsidR="00487DC7" w:rsidRPr="00487DC7">
              <w:rPr>
                <w:b/>
              </w:rPr>
              <w:t>мортиза</w:t>
            </w:r>
            <w:r>
              <w:rPr>
                <w:b/>
                <w:lang w:val="ru-RU"/>
              </w:rPr>
              <w:t>-</w:t>
            </w:r>
          </w:p>
        </w:tc>
      </w:tr>
      <w:tr w:rsidR="00487DC7" w:rsidRPr="00487DC7" w14:paraId="6293964C" w14:textId="77777777" w:rsidTr="003C54AE">
        <w:trPr>
          <w:trHeight w:val="254"/>
        </w:trPr>
        <w:tc>
          <w:tcPr>
            <w:tcW w:w="284" w:type="dxa"/>
            <w:tcBorders>
              <w:top w:val="nil"/>
              <w:bottom w:val="nil"/>
            </w:tcBorders>
          </w:tcPr>
          <w:p w14:paraId="0FB6761C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14:paraId="65DDCCC9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09063934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рудования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ECD2EDF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дования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308BF695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ции (%)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047F763E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амортиза-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8E7E046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ция по</w:t>
            </w:r>
          </w:p>
        </w:tc>
      </w:tr>
      <w:tr w:rsidR="00487DC7" w:rsidRPr="00487DC7" w14:paraId="41E547C6" w14:textId="77777777" w:rsidTr="003C54AE">
        <w:trPr>
          <w:trHeight w:val="254"/>
        </w:trPr>
        <w:tc>
          <w:tcPr>
            <w:tcW w:w="284" w:type="dxa"/>
            <w:tcBorders>
              <w:top w:val="nil"/>
              <w:bottom w:val="nil"/>
            </w:tcBorders>
          </w:tcPr>
          <w:p w14:paraId="52F9DCA4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14:paraId="56926328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48F2DEBB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(руб.)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85786AC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(шт)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40D64D0D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856BA05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ционных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22B4AE7" w14:textId="77777777" w:rsidR="00487DC7" w:rsidRPr="00487DC7" w:rsidRDefault="00487DC7" w:rsidP="003C54AE">
            <w:pPr>
              <w:pStyle w:val="TableParagraph"/>
              <w:spacing w:line="234" w:lineRule="exact"/>
              <w:ind w:right="2"/>
              <w:rPr>
                <w:b/>
              </w:rPr>
            </w:pPr>
            <w:r w:rsidRPr="00487DC7">
              <w:rPr>
                <w:b/>
              </w:rPr>
              <w:t>оборудова-</w:t>
            </w:r>
          </w:p>
        </w:tc>
      </w:tr>
      <w:tr w:rsidR="00487DC7" w:rsidRPr="00487DC7" w14:paraId="3E5E77F4" w14:textId="77777777" w:rsidTr="003C54AE">
        <w:trPr>
          <w:trHeight w:val="251"/>
        </w:trPr>
        <w:tc>
          <w:tcPr>
            <w:tcW w:w="284" w:type="dxa"/>
            <w:tcBorders>
              <w:top w:val="nil"/>
              <w:bottom w:val="nil"/>
            </w:tcBorders>
          </w:tcPr>
          <w:p w14:paraId="13FF5831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14:paraId="45E6FA6F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49225BBA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625BB86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3097CC10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A7C471F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отчисле-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CC14AC7" w14:textId="77777777" w:rsidR="00487DC7" w:rsidRPr="00487DC7" w:rsidRDefault="00487DC7" w:rsidP="003C54AE">
            <w:pPr>
              <w:pStyle w:val="TableParagraph"/>
              <w:spacing w:line="232" w:lineRule="exact"/>
              <w:ind w:right="2"/>
              <w:rPr>
                <w:b/>
              </w:rPr>
            </w:pPr>
            <w:r w:rsidRPr="00487DC7">
              <w:rPr>
                <w:b/>
              </w:rPr>
              <w:t>нию (руб.)</w:t>
            </w:r>
          </w:p>
        </w:tc>
      </w:tr>
      <w:tr w:rsidR="00487DC7" w:rsidRPr="00487DC7" w14:paraId="2863F76F" w14:textId="77777777" w:rsidTr="003C54AE">
        <w:trPr>
          <w:trHeight w:val="247"/>
        </w:trPr>
        <w:tc>
          <w:tcPr>
            <w:tcW w:w="284" w:type="dxa"/>
            <w:tcBorders>
              <w:top w:val="nil"/>
            </w:tcBorders>
          </w:tcPr>
          <w:p w14:paraId="492CA64E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14:paraId="50F4CFEF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14:paraId="5AD9D63E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71FD013B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14:paraId="1225262E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36365BFF" w14:textId="77777777" w:rsidR="00487DC7" w:rsidRPr="00487DC7" w:rsidRDefault="00487DC7" w:rsidP="003C54AE">
            <w:pPr>
              <w:pStyle w:val="TableParagraph"/>
              <w:spacing w:line="227" w:lineRule="exact"/>
              <w:ind w:right="2"/>
              <w:rPr>
                <w:b/>
              </w:rPr>
            </w:pPr>
            <w:r w:rsidRPr="00487DC7">
              <w:rPr>
                <w:b/>
              </w:rPr>
              <w:t>ний (руб.)</w:t>
            </w:r>
          </w:p>
        </w:tc>
        <w:tc>
          <w:tcPr>
            <w:tcW w:w="1901" w:type="dxa"/>
            <w:tcBorders>
              <w:top w:val="nil"/>
            </w:tcBorders>
          </w:tcPr>
          <w:p w14:paraId="5E7422B2" w14:textId="77777777" w:rsidR="00487DC7" w:rsidRPr="00487DC7" w:rsidRDefault="00487DC7" w:rsidP="003C54AE">
            <w:pPr>
              <w:pStyle w:val="TableParagraph"/>
              <w:ind w:right="2"/>
              <w:rPr>
                <w:sz w:val="18"/>
              </w:rPr>
            </w:pPr>
          </w:p>
        </w:tc>
      </w:tr>
      <w:tr w:rsidR="00487DC7" w:rsidRPr="00487DC7" w14:paraId="652E5B8F" w14:textId="77777777" w:rsidTr="003C54AE">
        <w:trPr>
          <w:trHeight w:val="453"/>
        </w:trPr>
        <w:tc>
          <w:tcPr>
            <w:tcW w:w="284" w:type="dxa"/>
          </w:tcPr>
          <w:p w14:paraId="1E181EF7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2639" w:type="dxa"/>
          </w:tcPr>
          <w:p w14:paraId="1E68A1B4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79" w:type="dxa"/>
          </w:tcPr>
          <w:p w14:paraId="2F10442B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83" w:type="dxa"/>
          </w:tcPr>
          <w:p w14:paraId="1E13EDEE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79" w:type="dxa"/>
          </w:tcPr>
          <w:p w14:paraId="7D9B81CC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83" w:type="dxa"/>
          </w:tcPr>
          <w:p w14:paraId="51CF741B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901" w:type="dxa"/>
          </w:tcPr>
          <w:p w14:paraId="1EA61989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0992EF85" w14:textId="77777777" w:rsidTr="003C54AE">
        <w:trPr>
          <w:trHeight w:val="454"/>
        </w:trPr>
        <w:tc>
          <w:tcPr>
            <w:tcW w:w="284" w:type="dxa"/>
          </w:tcPr>
          <w:p w14:paraId="3E7B5F08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2639" w:type="dxa"/>
          </w:tcPr>
          <w:p w14:paraId="1DF986D5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79" w:type="dxa"/>
          </w:tcPr>
          <w:p w14:paraId="08B65374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83" w:type="dxa"/>
          </w:tcPr>
          <w:p w14:paraId="55AC33D9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79" w:type="dxa"/>
          </w:tcPr>
          <w:p w14:paraId="4A4DFA33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83" w:type="dxa"/>
          </w:tcPr>
          <w:p w14:paraId="2C8465B9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901" w:type="dxa"/>
          </w:tcPr>
          <w:p w14:paraId="6E3F32F6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5B4AEBFD" w14:textId="77777777" w:rsidTr="003C54AE">
        <w:trPr>
          <w:trHeight w:val="454"/>
        </w:trPr>
        <w:tc>
          <w:tcPr>
            <w:tcW w:w="284" w:type="dxa"/>
          </w:tcPr>
          <w:p w14:paraId="64FB875F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2639" w:type="dxa"/>
          </w:tcPr>
          <w:p w14:paraId="20854159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79" w:type="dxa"/>
          </w:tcPr>
          <w:p w14:paraId="3328B425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83" w:type="dxa"/>
          </w:tcPr>
          <w:p w14:paraId="3B93CDDA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79" w:type="dxa"/>
          </w:tcPr>
          <w:p w14:paraId="304CF8F1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383" w:type="dxa"/>
          </w:tcPr>
          <w:p w14:paraId="13F6F9BD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  <w:tc>
          <w:tcPr>
            <w:tcW w:w="1901" w:type="dxa"/>
          </w:tcPr>
          <w:p w14:paraId="04D78661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  <w:tr w:rsidR="00487DC7" w:rsidRPr="00487DC7" w14:paraId="66E91C9F" w14:textId="77777777" w:rsidTr="003C54AE">
        <w:trPr>
          <w:trHeight w:val="453"/>
        </w:trPr>
        <w:tc>
          <w:tcPr>
            <w:tcW w:w="8447" w:type="dxa"/>
            <w:gridSpan w:val="6"/>
          </w:tcPr>
          <w:p w14:paraId="644C1DF4" w14:textId="77777777" w:rsidR="00487DC7" w:rsidRPr="00487DC7" w:rsidRDefault="00487DC7" w:rsidP="00487DC7">
            <w:pPr>
              <w:pStyle w:val="TableParagraph"/>
              <w:spacing w:before="117"/>
              <w:ind w:right="2" w:firstLine="568"/>
              <w:rPr>
                <w:b/>
              </w:rPr>
            </w:pPr>
            <w:r w:rsidRPr="00487DC7">
              <w:rPr>
                <w:b/>
              </w:rPr>
              <w:t>ИТОГО</w:t>
            </w:r>
          </w:p>
        </w:tc>
        <w:tc>
          <w:tcPr>
            <w:tcW w:w="1901" w:type="dxa"/>
          </w:tcPr>
          <w:p w14:paraId="5725F9B3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6"/>
              </w:rPr>
            </w:pPr>
          </w:p>
        </w:tc>
      </w:tr>
    </w:tbl>
    <w:p w14:paraId="17FBDC60" w14:textId="77777777" w:rsidR="00487DC7" w:rsidRPr="00487DC7" w:rsidRDefault="00487DC7" w:rsidP="00487DC7">
      <w:pPr>
        <w:pStyle w:val="a3"/>
        <w:ind w:right="2" w:firstLine="568"/>
        <w:rPr>
          <w:b/>
          <w:sz w:val="20"/>
        </w:rPr>
      </w:pPr>
    </w:p>
    <w:p w14:paraId="344215D5" w14:textId="77777777" w:rsidR="00487DC7" w:rsidRPr="00487DC7" w:rsidRDefault="00487DC7" w:rsidP="00487DC7">
      <w:pPr>
        <w:pStyle w:val="a3"/>
        <w:spacing w:before="4"/>
        <w:ind w:right="2" w:firstLine="568"/>
        <w:rPr>
          <w:b/>
          <w:sz w:val="16"/>
        </w:rPr>
      </w:pPr>
    </w:p>
    <w:p w14:paraId="1C0E631D" w14:textId="7A059FBF" w:rsidR="00487DC7" w:rsidRPr="00487DC7" w:rsidRDefault="00487DC7" w:rsidP="003C54AE">
      <w:pPr>
        <w:spacing w:before="88" w:line="242" w:lineRule="auto"/>
        <w:ind w:right="2" w:firstLine="568"/>
        <w:jc w:val="both"/>
        <w:rPr>
          <w:i/>
          <w:sz w:val="23"/>
        </w:rPr>
      </w:pPr>
      <w:r w:rsidRPr="00487DC7">
        <w:rPr>
          <w:i/>
          <w:sz w:val="28"/>
        </w:rPr>
        <w:t>Этап 6. Расчет затрат на контрагентские работы, командировки и прочие затраты</w:t>
      </w:r>
      <w:r w:rsidR="003C54AE">
        <w:rPr>
          <w:i/>
          <w:sz w:val="28"/>
        </w:rPr>
        <w:t>.</w:t>
      </w:r>
    </w:p>
    <w:p w14:paraId="6EFD0C13" w14:textId="6B37EC3C" w:rsidR="00487DC7" w:rsidRPr="00487DC7" w:rsidRDefault="00487DC7" w:rsidP="003C54AE">
      <w:pPr>
        <w:pStyle w:val="a3"/>
        <w:spacing w:line="276" w:lineRule="auto"/>
        <w:ind w:right="2" w:firstLine="568"/>
        <w:jc w:val="both"/>
      </w:pPr>
      <w:r w:rsidRPr="00487DC7">
        <w:t>К группе «прочие затраты» относятся затраты, связанные с оплатой экспертиз, консультаций, арендой и пр. Эти затраты определяется на основе статистической информации и задаются в процента</w:t>
      </w:r>
      <w:r w:rsidR="003C54AE">
        <w:t>х</w:t>
      </w:r>
      <w:r w:rsidRPr="00487DC7">
        <w:t xml:space="preserve"> к суммарной величине предыдущих статей (не более 10%) или оговаривается их конкретная договорная стоимость.</w:t>
      </w:r>
    </w:p>
    <w:p w14:paraId="7CC52C1C" w14:textId="5B6EACBC" w:rsidR="00487DC7" w:rsidRPr="00487DC7" w:rsidRDefault="00487DC7" w:rsidP="003C54AE">
      <w:pPr>
        <w:spacing w:before="201"/>
        <w:ind w:right="2" w:firstLine="568"/>
        <w:jc w:val="both"/>
        <w:rPr>
          <w:i/>
          <w:sz w:val="28"/>
        </w:rPr>
      </w:pPr>
      <w:r w:rsidRPr="00487DC7">
        <w:rPr>
          <w:i/>
          <w:sz w:val="28"/>
        </w:rPr>
        <w:t>Этап 7. Расчет накладных расходов</w:t>
      </w:r>
      <w:r w:rsidR="003C54AE">
        <w:rPr>
          <w:i/>
          <w:sz w:val="28"/>
        </w:rPr>
        <w:t>.</w:t>
      </w:r>
    </w:p>
    <w:p w14:paraId="333A2E13" w14:textId="3E03934E" w:rsidR="00487DC7" w:rsidRPr="00487DC7" w:rsidRDefault="00487DC7" w:rsidP="003C54AE">
      <w:pPr>
        <w:spacing w:before="50" w:line="273" w:lineRule="auto"/>
        <w:ind w:right="2" w:firstLine="568"/>
        <w:jc w:val="both"/>
        <w:rPr>
          <w:sz w:val="28"/>
        </w:rPr>
      </w:pPr>
      <w:r w:rsidRPr="00487DC7">
        <w:rPr>
          <w:b/>
          <w:sz w:val="28"/>
        </w:rPr>
        <w:t>Накладные расходы (</w:t>
      </w:r>
      <w:r w:rsidRPr="00487DC7">
        <w:rPr>
          <w:b/>
          <w:i/>
          <w:sz w:val="28"/>
        </w:rPr>
        <w:t>З</w:t>
      </w:r>
      <w:r w:rsidRPr="00487DC7">
        <w:rPr>
          <w:b/>
          <w:i/>
          <w:sz w:val="28"/>
          <w:vertAlign w:val="subscript"/>
        </w:rPr>
        <w:t>накл</w:t>
      </w:r>
      <w:r w:rsidRPr="00487DC7">
        <w:rPr>
          <w:b/>
          <w:sz w:val="28"/>
        </w:rPr>
        <w:t xml:space="preserve">) </w:t>
      </w:r>
      <w:r w:rsidRPr="00487DC7">
        <w:rPr>
          <w:sz w:val="28"/>
        </w:rPr>
        <w:t>вычисляются в процентах к основной заработной плате (70–100%).</w:t>
      </w:r>
    </w:p>
    <w:p w14:paraId="5A066B23" w14:textId="15BE6054" w:rsidR="00487DC7" w:rsidRPr="00487DC7" w:rsidRDefault="00487DC7" w:rsidP="003C54AE">
      <w:pPr>
        <w:pStyle w:val="a3"/>
        <w:spacing w:before="6" w:line="276" w:lineRule="auto"/>
        <w:ind w:right="2" w:firstLine="568"/>
        <w:jc w:val="both"/>
      </w:pPr>
      <w:r w:rsidRPr="00487DC7">
        <w:rPr>
          <w:i/>
        </w:rPr>
        <w:t xml:space="preserve">Накладные расходы </w:t>
      </w:r>
      <w:r w:rsidRPr="00487DC7">
        <w:t>– это дополнительные к основным затратам расходы, необходимые для обеспечения процессов производства, связанные с управлением, обслуживанием, содержанием и эксплуатацией оборудования, а также ненормированные расходы (брак, штрафы, пени и пр.).</w:t>
      </w:r>
    </w:p>
    <w:p w14:paraId="43490E8F" w14:textId="7560921F" w:rsidR="00487DC7" w:rsidRPr="00487DC7" w:rsidRDefault="00487DC7" w:rsidP="003C54AE">
      <w:pPr>
        <w:pStyle w:val="a3"/>
        <w:spacing w:line="278" w:lineRule="auto"/>
        <w:ind w:right="2" w:firstLine="568"/>
        <w:jc w:val="both"/>
      </w:pPr>
      <w:r w:rsidRPr="00487DC7">
        <w:rPr>
          <w:b/>
        </w:rPr>
        <w:t xml:space="preserve">Общая смета </w:t>
      </w:r>
      <w:r w:rsidRPr="00487DC7">
        <w:t>определяется суммированием всех статей. Расчетные данные заносятся в таблицу 3.3.</w:t>
      </w:r>
    </w:p>
    <w:p w14:paraId="4E8F2F9F" w14:textId="77777777" w:rsidR="00487DC7" w:rsidRPr="00487DC7" w:rsidRDefault="00487DC7" w:rsidP="003C54AE">
      <w:pPr>
        <w:spacing w:before="88"/>
        <w:ind w:right="2" w:firstLine="568"/>
        <w:jc w:val="right"/>
        <w:rPr>
          <w:b/>
          <w:sz w:val="28"/>
        </w:rPr>
      </w:pPr>
      <w:r w:rsidRPr="00487DC7">
        <w:rPr>
          <w:b/>
          <w:sz w:val="28"/>
        </w:rPr>
        <w:t>Таблица 3.3</w:t>
      </w:r>
    </w:p>
    <w:p w14:paraId="6622D1E8" w14:textId="77777777" w:rsidR="00487DC7" w:rsidRPr="00487DC7" w:rsidRDefault="00487DC7" w:rsidP="00487DC7">
      <w:pPr>
        <w:spacing w:before="2"/>
        <w:ind w:right="2" w:firstLine="568"/>
        <w:jc w:val="center"/>
        <w:rPr>
          <w:b/>
          <w:sz w:val="28"/>
        </w:rPr>
      </w:pPr>
      <w:r w:rsidRPr="00487DC7">
        <w:rPr>
          <w:b/>
          <w:sz w:val="28"/>
        </w:rPr>
        <w:t>Сметная стоимость производства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78"/>
        <w:gridCol w:w="2285"/>
        <w:gridCol w:w="2517"/>
      </w:tblGrid>
      <w:tr w:rsidR="00487DC7" w:rsidRPr="00487DC7" w14:paraId="39761AB5" w14:textId="77777777" w:rsidTr="003C54AE">
        <w:trPr>
          <w:trHeight w:val="477"/>
        </w:trPr>
        <w:tc>
          <w:tcPr>
            <w:tcW w:w="426" w:type="dxa"/>
          </w:tcPr>
          <w:p w14:paraId="65BF0487" w14:textId="77777777" w:rsidR="00487DC7" w:rsidRPr="00487DC7" w:rsidRDefault="00487DC7" w:rsidP="003C54AE">
            <w:pPr>
              <w:pStyle w:val="TableParagraph"/>
              <w:spacing w:line="275" w:lineRule="exact"/>
              <w:ind w:right="2"/>
              <w:rPr>
                <w:b/>
                <w:sz w:val="24"/>
              </w:rPr>
            </w:pPr>
            <w:r w:rsidRPr="00487DC7">
              <w:rPr>
                <w:b/>
                <w:sz w:val="24"/>
              </w:rPr>
              <w:t>№</w:t>
            </w:r>
          </w:p>
        </w:tc>
        <w:tc>
          <w:tcPr>
            <w:tcW w:w="4978" w:type="dxa"/>
          </w:tcPr>
          <w:p w14:paraId="6C1DAD72" w14:textId="77777777" w:rsidR="00487DC7" w:rsidRPr="00487DC7" w:rsidRDefault="00487DC7" w:rsidP="003C54AE">
            <w:pPr>
              <w:pStyle w:val="TableParagraph"/>
              <w:spacing w:line="275" w:lineRule="exact"/>
              <w:ind w:right="2"/>
              <w:rPr>
                <w:b/>
                <w:sz w:val="24"/>
              </w:rPr>
            </w:pPr>
            <w:r w:rsidRPr="00487DC7">
              <w:rPr>
                <w:b/>
                <w:sz w:val="24"/>
              </w:rPr>
              <w:t>Статьи расходов</w:t>
            </w:r>
          </w:p>
        </w:tc>
        <w:tc>
          <w:tcPr>
            <w:tcW w:w="2285" w:type="dxa"/>
          </w:tcPr>
          <w:p w14:paraId="4993D8AA" w14:textId="77777777" w:rsidR="00487DC7" w:rsidRPr="00487DC7" w:rsidRDefault="00487DC7" w:rsidP="003C54AE">
            <w:pPr>
              <w:pStyle w:val="TableParagraph"/>
              <w:spacing w:line="275" w:lineRule="exact"/>
              <w:ind w:right="2"/>
              <w:rPr>
                <w:b/>
                <w:sz w:val="24"/>
              </w:rPr>
            </w:pPr>
            <w:r w:rsidRPr="00487DC7">
              <w:rPr>
                <w:b/>
                <w:sz w:val="24"/>
              </w:rPr>
              <w:t>Затраты (руб.)</w:t>
            </w:r>
          </w:p>
        </w:tc>
        <w:tc>
          <w:tcPr>
            <w:tcW w:w="2517" w:type="dxa"/>
          </w:tcPr>
          <w:p w14:paraId="47EBBB1D" w14:textId="77777777" w:rsidR="00487DC7" w:rsidRPr="00487DC7" w:rsidRDefault="00487DC7" w:rsidP="003C54AE">
            <w:pPr>
              <w:pStyle w:val="TableParagraph"/>
              <w:spacing w:line="275" w:lineRule="exact"/>
              <w:ind w:right="2" w:firstLine="568"/>
              <w:rPr>
                <w:b/>
                <w:sz w:val="24"/>
              </w:rPr>
            </w:pPr>
            <w:r w:rsidRPr="00487DC7">
              <w:rPr>
                <w:b/>
                <w:sz w:val="24"/>
              </w:rPr>
              <w:t>Доля (%)</w:t>
            </w:r>
          </w:p>
        </w:tc>
      </w:tr>
      <w:tr w:rsidR="00487DC7" w:rsidRPr="00487DC7" w14:paraId="37609081" w14:textId="77777777" w:rsidTr="003C54AE">
        <w:trPr>
          <w:trHeight w:val="473"/>
        </w:trPr>
        <w:tc>
          <w:tcPr>
            <w:tcW w:w="426" w:type="dxa"/>
          </w:tcPr>
          <w:p w14:paraId="02EB5D10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4978" w:type="dxa"/>
          </w:tcPr>
          <w:p w14:paraId="1A5DD0FC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285" w:type="dxa"/>
          </w:tcPr>
          <w:p w14:paraId="1C27006F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517" w:type="dxa"/>
          </w:tcPr>
          <w:p w14:paraId="1F48653D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4"/>
              </w:rPr>
            </w:pPr>
          </w:p>
        </w:tc>
      </w:tr>
      <w:tr w:rsidR="00487DC7" w:rsidRPr="00487DC7" w14:paraId="79D07907" w14:textId="77777777" w:rsidTr="003C54AE">
        <w:trPr>
          <w:trHeight w:val="478"/>
        </w:trPr>
        <w:tc>
          <w:tcPr>
            <w:tcW w:w="426" w:type="dxa"/>
          </w:tcPr>
          <w:p w14:paraId="0E947950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4978" w:type="dxa"/>
          </w:tcPr>
          <w:p w14:paraId="70FE9A5F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285" w:type="dxa"/>
          </w:tcPr>
          <w:p w14:paraId="72752412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517" w:type="dxa"/>
          </w:tcPr>
          <w:p w14:paraId="12F5C698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4"/>
              </w:rPr>
            </w:pPr>
          </w:p>
        </w:tc>
      </w:tr>
      <w:tr w:rsidR="00487DC7" w:rsidRPr="00487DC7" w14:paraId="32409379" w14:textId="77777777" w:rsidTr="003C54AE">
        <w:trPr>
          <w:trHeight w:val="474"/>
        </w:trPr>
        <w:tc>
          <w:tcPr>
            <w:tcW w:w="426" w:type="dxa"/>
          </w:tcPr>
          <w:p w14:paraId="4DBFEA24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4978" w:type="dxa"/>
          </w:tcPr>
          <w:p w14:paraId="568656CC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285" w:type="dxa"/>
          </w:tcPr>
          <w:p w14:paraId="7ABCA347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517" w:type="dxa"/>
          </w:tcPr>
          <w:p w14:paraId="31D0CC76" w14:textId="77777777" w:rsidR="00487DC7" w:rsidRPr="00487DC7" w:rsidRDefault="00487DC7" w:rsidP="00487DC7">
            <w:pPr>
              <w:pStyle w:val="TableParagraph"/>
              <w:ind w:right="2" w:firstLine="568"/>
              <w:jc w:val="left"/>
              <w:rPr>
                <w:sz w:val="24"/>
              </w:rPr>
            </w:pPr>
          </w:p>
        </w:tc>
      </w:tr>
      <w:tr w:rsidR="00487DC7" w:rsidRPr="00487DC7" w14:paraId="1E00FA79" w14:textId="77777777" w:rsidTr="003C54AE">
        <w:trPr>
          <w:trHeight w:val="478"/>
        </w:trPr>
        <w:tc>
          <w:tcPr>
            <w:tcW w:w="5404" w:type="dxa"/>
            <w:gridSpan w:val="2"/>
          </w:tcPr>
          <w:p w14:paraId="7266632B" w14:textId="77777777" w:rsidR="00487DC7" w:rsidRPr="00487DC7" w:rsidRDefault="00487DC7" w:rsidP="003C54AE">
            <w:pPr>
              <w:pStyle w:val="TableParagraph"/>
              <w:spacing w:before="119"/>
              <w:ind w:right="2"/>
              <w:rPr>
                <w:b/>
                <w:sz w:val="24"/>
              </w:rPr>
            </w:pPr>
            <w:r w:rsidRPr="00487DC7">
              <w:rPr>
                <w:b/>
                <w:sz w:val="24"/>
              </w:rPr>
              <w:t>ИТОГО</w:t>
            </w:r>
          </w:p>
        </w:tc>
        <w:tc>
          <w:tcPr>
            <w:tcW w:w="2285" w:type="dxa"/>
          </w:tcPr>
          <w:p w14:paraId="5CF75D22" w14:textId="77777777" w:rsidR="00487DC7" w:rsidRPr="00487DC7" w:rsidRDefault="00487DC7" w:rsidP="003C54AE">
            <w:pPr>
              <w:pStyle w:val="TableParagraph"/>
              <w:ind w:right="2"/>
              <w:jc w:val="left"/>
              <w:rPr>
                <w:sz w:val="24"/>
              </w:rPr>
            </w:pPr>
          </w:p>
        </w:tc>
        <w:tc>
          <w:tcPr>
            <w:tcW w:w="2517" w:type="dxa"/>
          </w:tcPr>
          <w:p w14:paraId="18BCCC94" w14:textId="77777777" w:rsidR="00487DC7" w:rsidRPr="00487DC7" w:rsidRDefault="00487DC7" w:rsidP="00487DC7">
            <w:pPr>
              <w:pStyle w:val="TableParagraph"/>
              <w:spacing w:line="275" w:lineRule="exact"/>
              <w:ind w:right="2" w:firstLine="568"/>
              <w:rPr>
                <w:b/>
                <w:sz w:val="24"/>
              </w:rPr>
            </w:pPr>
            <w:r w:rsidRPr="00487DC7">
              <w:rPr>
                <w:b/>
                <w:sz w:val="24"/>
              </w:rPr>
              <w:t>100</w:t>
            </w:r>
          </w:p>
        </w:tc>
      </w:tr>
    </w:tbl>
    <w:p w14:paraId="6F328FA4" w14:textId="77777777" w:rsidR="00190855" w:rsidRDefault="00190855" w:rsidP="00487DC7">
      <w:pPr>
        <w:ind w:right="2" w:firstLine="568"/>
      </w:pPr>
    </w:p>
    <w:sectPr w:rsidR="00190855" w:rsidSect="00487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109B"/>
    <w:multiLevelType w:val="hybridMultilevel"/>
    <w:tmpl w:val="5D52690C"/>
    <w:lvl w:ilvl="0" w:tplc="6E02A540">
      <w:start w:val="1"/>
      <w:numFmt w:val="decimal"/>
      <w:lvlText w:val="%1)"/>
      <w:lvlJc w:val="left"/>
      <w:pPr>
        <w:ind w:left="567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4E14EE">
      <w:numFmt w:val="bullet"/>
      <w:lvlText w:val="•"/>
      <w:lvlJc w:val="left"/>
      <w:pPr>
        <w:ind w:left="3734" w:hanging="425"/>
      </w:pPr>
      <w:rPr>
        <w:rFonts w:hint="default"/>
        <w:lang w:val="ru-RU" w:eastAsia="en-US" w:bidi="ar-SA"/>
      </w:rPr>
    </w:lvl>
    <w:lvl w:ilvl="2" w:tplc="45C03B52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3" w:tplc="0EAE934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4" w:tplc="00367BD6">
      <w:numFmt w:val="bullet"/>
      <w:lvlText w:val="•"/>
      <w:lvlJc w:val="left"/>
      <w:pPr>
        <w:ind w:left="4317" w:hanging="425"/>
      </w:pPr>
      <w:rPr>
        <w:rFonts w:hint="default"/>
        <w:lang w:val="ru-RU" w:eastAsia="en-US" w:bidi="ar-SA"/>
      </w:rPr>
    </w:lvl>
    <w:lvl w:ilvl="5" w:tplc="6352CCFA">
      <w:numFmt w:val="bullet"/>
      <w:lvlText w:val="•"/>
      <w:lvlJc w:val="left"/>
      <w:pPr>
        <w:ind w:left="4320" w:hanging="425"/>
      </w:pPr>
      <w:rPr>
        <w:rFonts w:hint="default"/>
        <w:lang w:val="ru-RU" w:eastAsia="en-US" w:bidi="ar-SA"/>
      </w:rPr>
    </w:lvl>
    <w:lvl w:ilvl="6" w:tplc="354875A4"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7" w:tplc="848C98FC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8" w:tplc="8C365560">
      <w:numFmt w:val="bullet"/>
      <w:lvlText w:val="•"/>
      <w:lvlJc w:val="left"/>
      <w:pPr>
        <w:ind w:left="432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C7"/>
    <w:rsid w:val="00110EC6"/>
    <w:rsid w:val="00190855"/>
    <w:rsid w:val="003C54AE"/>
    <w:rsid w:val="004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E979"/>
  <w15:chartTrackingRefBased/>
  <w15:docId w15:val="{7E3F3227-B00E-419E-9DBA-AF5574B7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87DC7"/>
    <w:pPr>
      <w:spacing w:before="100"/>
      <w:ind w:left="476" w:right="471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C7"/>
    <w:rPr>
      <w:rFonts w:ascii="Cambria" w:eastAsia="Cambria" w:hAnsi="Cambria" w:cs="Cambria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87D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7D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7D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87DC7"/>
    <w:pPr>
      <w:ind w:left="1401" w:hanging="361"/>
    </w:pPr>
  </w:style>
  <w:style w:type="paragraph" w:customStyle="1" w:styleId="TableParagraph">
    <w:name w:val="Table Paragraph"/>
    <w:basedOn w:val="a"/>
    <w:uiPriority w:val="1"/>
    <w:qFormat/>
    <w:rsid w:val="00487DC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Валдайцева Мария Викторовна</dc:creator>
  <cp:keywords/>
  <dc:description/>
  <cp:lastModifiedBy>Валдайцева Мария Викторовна</cp:lastModifiedBy>
  <cp:revision>3</cp:revision>
  <dcterms:created xsi:type="dcterms:W3CDTF">2021-10-07T19:26:00Z</dcterms:created>
  <dcterms:modified xsi:type="dcterms:W3CDTF">2021-10-07T19:45:00Z</dcterms:modified>
</cp:coreProperties>
</file>