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44A5" w14:textId="77777777" w:rsidR="00286FAD" w:rsidRPr="002C5F20" w:rsidRDefault="002C5F20" w:rsidP="002C5F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F20">
        <w:rPr>
          <w:rFonts w:ascii="Times New Roman" w:hAnsi="Times New Roman" w:cs="Times New Roman"/>
          <w:b/>
          <w:sz w:val="40"/>
          <w:szCs w:val="40"/>
        </w:rPr>
        <w:t>Письменное контрольное задание по дисциплине «Страхование»</w:t>
      </w:r>
    </w:p>
    <w:p w14:paraId="33102E15" w14:textId="77777777" w:rsidR="0052732B" w:rsidRDefault="0052732B" w:rsidP="002C5F20">
      <w:pPr>
        <w:rPr>
          <w:rFonts w:ascii="Times New Roman" w:hAnsi="Times New Roman" w:cs="Times New Roman"/>
          <w:b/>
          <w:sz w:val="28"/>
          <w:szCs w:val="28"/>
        </w:rPr>
      </w:pPr>
    </w:p>
    <w:p w14:paraId="6A6C182F" w14:textId="77777777" w:rsidR="0052732B" w:rsidRDefault="0052732B" w:rsidP="00527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8C48D" w14:textId="77777777" w:rsidR="0052732B" w:rsidRDefault="0052732B" w:rsidP="00527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52732B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</w:t>
      </w:r>
      <w:r w:rsidR="00EF24D3">
        <w:rPr>
          <w:rFonts w:ascii="Times New Roman" w:hAnsi="Times New Roman" w:cs="Times New Roman"/>
          <w:b/>
          <w:sz w:val="28"/>
          <w:szCs w:val="28"/>
        </w:rPr>
        <w:t xml:space="preserve">письменного </w:t>
      </w:r>
      <w:r w:rsidRPr="0052732B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E64046">
        <w:rPr>
          <w:rFonts w:ascii="Times New Roman" w:hAnsi="Times New Roman" w:cs="Times New Roman"/>
          <w:b/>
          <w:sz w:val="28"/>
          <w:szCs w:val="28"/>
        </w:rPr>
        <w:t>го</w:t>
      </w:r>
      <w:r w:rsidRPr="00527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4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EF24D3">
        <w:rPr>
          <w:rFonts w:ascii="Times New Roman" w:hAnsi="Times New Roman" w:cs="Times New Roman"/>
          <w:b/>
          <w:sz w:val="28"/>
          <w:szCs w:val="28"/>
        </w:rPr>
        <w:t xml:space="preserve"> (ПКЗ)</w:t>
      </w:r>
    </w:p>
    <w:p w14:paraId="2FC92A45" w14:textId="77777777" w:rsidR="00E64046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E64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частей</w:t>
      </w:r>
      <w:r w:rsidR="00E6404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теоретической и практической.</w:t>
      </w:r>
    </w:p>
    <w:p w14:paraId="536752C3" w14:textId="77777777" w:rsidR="001B7890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контрольно</w:t>
      </w:r>
      <w:r w:rsidR="00E64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задания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E64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следует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следующие требования: во-первых, внимательно ознак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омиться с методическими рекомен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дациями по теме, изучить необходимую литературу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освоить терминологию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основе полученных знаний раскрыть содержание работы,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-вторых, правильно оформить кон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14:paraId="3DDED76F" w14:textId="77777777" w:rsidR="0052732B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следующие структур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элементы: </w:t>
      </w:r>
    </w:p>
    <w:p w14:paraId="28FB99F0" w14:textId="77777777" w:rsidR="0052732B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титульный лист установленного образца с указанием всех необходимых реквизитов;</w:t>
      </w:r>
    </w:p>
    <w:p w14:paraId="574D5325" w14:textId="77777777" w:rsidR="0052732B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содержание, в котором перечисляются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контрольно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казанием номеров страниц;</w:t>
      </w:r>
    </w:p>
    <w:p w14:paraId="4C7B8CCE" w14:textId="77777777" w:rsidR="00E64046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основная часть, которая 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изложение теоретических вопросов, систематиза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изученного материала, сопоставление и анализ актуальных вопросов страхового дела, аргументацию собственной позиции, а также отражение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поставленных в кон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трольном 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</w:t>
      </w:r>
      <w:r w:rsidR="001B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полученны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596EC" w14:textId="77777777" w:rsidR="00E64046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библиографический список, содержащий сведения об источниках, использованных при выполнении контрольно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BBEA4" w14:textId="77777777" w:rsidR="0052732B" w:rsidRDefault="0052732B" w:rsidP="00527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приложения (по необходимости).</w:t>
      </w:r>
    </w:p>
    <w:p w14:paraId="709D6A6C" w14:textId="77777777" w:rsidR="00D3188C" w:rsidRDefault="00684292" w:rsidP="00F600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необходимо выполнить самостоятельно,</w:t>
      </w:r>
      <w:r w:rsidR="00EF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иметь авторский характер.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</w:t>
      </w:r>
      <w:r w:rsidR="00D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ПКЗ необходимо </w:t>
      </w:r>
      <w:r w:rsidR="00D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88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СИУ Р</w:t>
      </w:r>
      <w:r w:rsidR="00EF2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АНХиГС. Общий объём работы 3-5 печатных страниц.</w:t>
      </w:r>
      <w:r w:rsid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ПКЗ выполняется в </w:t>
      </w:r>
      <w:r w:rsidR="0013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отдельном файле </w:t>
      </w:r>
      <w:r w:rsidR="00136D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13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</w:t>
      </w:r>
      <w:r w:rsid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DC5" w:rsidRPr="00136DC5">
        <w:rPr>
          <w:rFonts w:ascii="Times New Roman" w:hAnsi="Times New Roman" w:cs="Times New Roman"/>
          <w:sz w:val="28"/>
          <w:szCs w:val="28"/>
        </w:rPr>
        <w:t>«.</w:t>
      </w:r>
      <w:proofErr w:type="spellStart"/>
      <w:r w:rsidR="00136DC5" w:rsidRPr="00136D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136DC5" w:rsidRPr="00136DC5">
        <w:rPr>
          <w:rFonts w:ascii="Times New Roman" w:hAnsi="Times New Roman" w:cs="Times New Roman"/>
          <w:sz w:val="28"/>
          <w:szCs w:val="28"/>
        </w:rPr>
        <w:t>» и</w:t>
      </w:r>
      <w:r w:rsidR="00136DC5">
        <w:rPr>
          <w:rFonts w:ascii="Times New Roman" w:hAnsi="Times New Roman" w:cs="Times New Roman"/>
          <w:sz w:val="28"/>
          <w:szCs w:val="28"/>
        </w:rPr>
        <w:t>ли</w:t>
      </w:r>
      <w:r w:rsidR="00136DC5" w:rsidRPr="00136DC5">
        <w:rPr>
          <w:rFonts w:ascii="Times New Roman" w:hAnsi="Times New Roman" w:cs="Times New Roman"/>
          <w:sz w:val="28"/>
          <w:szCs w:val="28"/>
        </w:rPr>
        <w:t xml:space="preserve"> «.</w:t>
      </w:r>
      <w:proofErr w:type="spellStart"/>
      <w:r w:rsidR="00136DC5" w:rsidRPr="00136D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136DC5" w:rsidRPr="00136DC5">
        <w:rPr>
          <w:rFonts w:ascii="Times New Roman" w:hAnsi="Times New Roman" w:cs="Times New Roman"/>
          <w:sz w:val="28"/>
          <w:szCs w:val="28"/>
        </w:rPr>
        <w:t>»</w:t>
      </w:r>
      <w:r w:rsidR="00136DC5">
        <w:rPr>
          <w:rFonts w:ascii="Times New Roman" w:hAnsi="Times New Roman" w:cs="Times New Roman"/>
          <w:sz w:val="28"/>
          <w:szCs w:val="28"/>
        </w:rPr>
        <w:t xml:space="preserve">, </w:t>
      </w:r>
      <w:r w:rsid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="00F6004B" w:rsidRP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F6004B" w:rsidRP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F6004B" w:rsidRP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F6004B" w:rsidRP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F6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пт., межстрочный 1,5 интервал.</w:t>
      </w:r>
    </w:p>
    <w:p w14:paraId="6208B10F" w14:textId="77777777" w:rsidR="00D3188C" w:rsidRDefault="00D3188C" w:rsidP="00D3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студент выполняет вариант ПКЗ по своему выбору. Вариант задания включает в себя теоретически</w:t>
      </w:r>
      <w:r w:rsidR="006C7B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C7B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актуальной тематике курса и одну практическую задачу.</w:t>
      </w:r>
    </w:p>
    <w:p w14:paraId="027D8829" w14:textId="77777777" w:rsidR="002C621B" w:rsidRDefault="002C621B" w:rsidP="00EF24D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Теоретическая часть задания</w:t>
      </w:r>
    </w:p>
    <w:p w14:paraId="24DD3C1A" w14:textId="77777777" w:rsidR="00D3188C" w:rsidRPr="00D3188C" w:rsidRDefault="00D3188C" w:rsidP="00EF2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8C">
        <w:rPr>
          <w:rFonts w:ascii="Times New Roman" w:hAnsi="Times New Roman" w:cs="Times New Roman"/>
          <w:sz w:val="28"/>
          <w:szCs w:val="28"/>
        </w:rPr>
        <w:t>Раскрывая тему, следует проводить анализ соответствующих норм нормативно-правовых актов. При изучении литературы и нормативного материала следует учитывать изменения, происходящие в действующем законодательстве.</w:t>
      </w:r>
    </w:p>
    <w:p w14:paraId="5657758E" w14:textId="77777777" w:rsidR="00136DC5" w:rsidRDefault="00F6004B" w:rsidP="00136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оформляется без сокращения текста,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излагается </w:t>
      </w:r>
      <w:r w:rsidR="007517BC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="007517BC">
        <w:rPr>
          <w:rFonts w:ascii="Times New Roman" w:hAnsi="Times New Roman" w:cs="Times New Roman"/>
          <w:sz w:val="28"/>
          <w:szCs w:val="28"/>
        </w:rPr>
        <w:t xml:space="preserve"> обозначенной темы с использованием учебной, специальной литературы, периодических изданий и официальных электронных ресурсов. В конце задания следует привести список использованной литературы в соответствии с </w:t>
      </w:r>
      <w:r w:rsidR="007517BC" w:rsidRPr="00136DC5">
        <w:rPr>
          <w:rFonts w:ascii="Times New Roman" w:hAnsi="Times New Roman" w:cs="Times New Roman"/>
          <w:sz w:val="28"/>
          <w:szCs w:val="28"/>
        </w:rPr>
        <w:t>ГОСТ</w:t>
      </w:r>
      <w:r w:rsidR="00136DC5">
        <w:rPr>
          <w:rFonts w:ascii="Times New Roman" w:hAnsi="Times New Roman" w:cs="Times New Roman"/>
          <w:sz w:val="28"/>
          <w:szCs w:val="28"/>
        </w:rPr>
        <w:t xml:space="preserve"> </w:t>
      </w:r>
      <w:r w:rsidR="00136DC5" w:rsidRPr="00136DC5">
        <w:rPr>
          <w:rFonts w:ascii="Times New Roman" w:hAnsi="Times New Roman" w:cs="Times New Roman"/>
          <w:sz w:val="28"/>
          <w:szCs w:val="28"/>
        </w:rPr>
        <w:t>Р 7.0.100–</w:t>
      </w:r>
      <w:proofErr w:type="gramStart"/>
      <w:r w:rsidR="00136DC5" w:rsidRPr="00136DC5">
        <w:rPr>
          <w:rFonts w:ascii="Times New Roman" w:hAnsi="Times New Roman" w:cs="Times New Roman"/>
          <w:sz w:val="28"/>
          <w:szCs w:val="28"/>
        </w:rPr>
        <w:t>2018</w:t>
      </w:r>
      <w:r w:rsidR="00136DC5">
        <w:t xml:space="preserve"> </w:t>
      </w:r>
      <w:r w:rsidR="00136DC5">
        <w:rPr>
          <w:rFonts w:ascii="Times New Roman" w:hAnsi="Times New Roman" w:cs="Times New Roman"/>
          <w:sz w:val="28"/>
          <w:szCs w:val="28"/>
        </w:rPr>
        <w:t xml:space="preserve"> оформления</w:t>
      </w:r>
      <w:proofErr w:type="gramEnd"/>
      <w:r w:rsidR="00136DC5">
        <w:rPr>
          <w:rFonts w:ascii="Times New Roman" w:hAnsi="Times New Roman" w:cs="Times New Roman"/>
          <w:sz w:val="28"/>
          <w:szCs w:val="28"/>
        </w:rPr>
        <w:t xml:space="preserve"> библиографического списка.</w:t>
      </w:r>
    </w:p>
    <w:p w14:paraId="7445BDB2" w14:textId="77777777" w:rsidR="007B710B" w:rsidRDefault="007B710B" w:rsidP="00136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B5232" w14:textId="77777777" w:rsidR="007B710B" w:rsidRPr="007B710B" w:rsidRDefault="007B710B" w:rsidP="000A3E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0B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часть задания</w:t>
      </w:r>
    </w:p>
    <w:p w14:paraId="1EA879DC" w14:textId="77A38119" w:rsidR="002A47F9" w:rsidRPr="002A47F9" w:rsidRDefault="007B710B" w:rsidP="002A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35"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>
        <w:rPr>
          <w:rFonts w:ascii="Times New Roman" w:hAnsi="Times New Roman" w:cs="Times New Roman"/>
          <w:sz w:val="28"/>
          <w:szCs w:val="28"/>
        </w:rPr>
        <w:t>ПКЗ</w:t>
      </w:r>
      <w:r w:rsidRPr="00466C35">
        <w:rPr>
          <w:rFonts w:ascii="Times New Roman" w:hAnsi="Times New Roman" w:cs="Times New Roman"/>
          <w:sz w:val="28"/>
          <w:szCs w:val="28"/>
        </w:rPr>
        <w:t xml:space="preserve"> предусматривает решение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6C35">
        <w:rPr>
          <w:rFonts w:ascii="Times New Roman" w:hAnsi="Times New Roman" w:cs="Times New Roman"/>
          <w:sz w:val="28"/>
          <w:szCs w:val="28"/>
        </w:rPr>
        <w:t>. Студент приводит: содержание задачи, решение задачи, вывод по задаче. Отв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6C35">
        <w:rPr>
          <w:rFonts w:ascii="Times New Roman" w:hAnsi="Times New Roman" w:cs="Times New Roman"/>
          <w:sz w:val="28"/>
          <w:szCs w:val="28"/>
        </w:rPr>
        <w:t>ты по задачам даются с указанием единиц измерения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7F9">
        <w:rPr>
          <w:rFonts w:ascii="Times New Roman" w:hAnsi="Times New Roman" w:cs="Times New Roman"/>
          <w:sz w:val="28"/>
          <w:szCs w:val="28"/>
        </w:rPr>
        <w:t xml:space="preserve"> </w:t>
      </w:r>
      <w:r w:rsidR="002A47F9" w:rsidRPr="002A47F9">
        <w:rPr>
          <w:rFonts w:ascii="Times New Roman" w:hAnsi="Times New Roman" w:cs="Times New Roman"/>
          <w:sz w:val="28"/>
          <w:szCs w:val="28"/>
          <w:highlight w:val="yellow"/>
        </w:rPr>
        <w:t>Обязательное выполнение дополнительного задание со звездочкой!</w:t>
      </w:r>
    </w:p>
    <w:p w14:paraId="2ECD5947" w14:textId="77777777" w:rsidR="00DD6DF4" w:rsidRDefault="00DD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E6D2C9" w14:textId="3D4C46B1" w:rsidR="00466C35" w:rsidRDefault="00466C35" w:rsidP="00466C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ECF">
        <w:rPr>
          <w:rFonts w:ascii="Times New Roman" w:hAnsi="Times New Roman" w:cs="Times New Roman"/>
          <w:b/>
          <w:sz w:val="32"/>
          <w:szCs w:val="32"/>
        </w:rPr>
        <w:lastRenderedPageBreak/>
        <w:t>Варианты з</w:t>
      </w:r>
      <w:r w:rsidR="000A3ECF" w:rsidRPr="000A3ECF">
        <w:rPr>
          <w:rFonts w:ascii="Times New Roman" w:hAnsi="Times New Roman" w:cs="Times New Roman"/>
          <w:b/>
          <w:sz w:val="32"/>
          <w:szCs w:val="32"/>
        </w:rPr>
        <w:t>аданий</w:t>
      </w:r>
      <w:r w:rsidR="0000108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001086" w:rsidRPr="00001086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можете выполнить </w:t>
      </w:r>
      <w:r w:rsidR="00001086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один </w:t>
      </w:r>
      <w:r w:rsidR="00001086" w:rsidRPr="00001086">
        <w:rPr>
          <w:rFonts w:ascii="Times New Roman" w:hAnsi="Times New Roman" w:cs="Times New Roman"/>
          <w:b/>
          <w:sz w:val="32"/>
          <w:szCs w:val="32"/>
          <w:highlight w:val="yellow"/>
        </w:rPr>
        <w:t>любой вариант</w:t>
      </w:r>
      <w:r w:rsidR="00001086">
        <w:rPr>
          <w:rFonts w:ascii="Times New Roman" w:hAnsi="Times New Roman" w:cs="Times New Roman"/>
          <w:b/>
          <w:sz w:val="32"/>
          <w:szCs w:val="32"/>
        </w:rPr>
        <w:t>)</w:t>
      </w:r>
    </w:p>
    <w:p w14:paraId="7D30B5BA" w14:textId="77777777" w:rsidR="002A47F9" w:rsidRDefault="002A47F9" w:rsidP="002A47F9">
      <w:pPr>
        <w:rPr>
          <w:rFonts w:ascii="Segoe UI" w:hAnsi="Segoe UI" w:cs="Segoe UI"/>
          <w:color w:val="1D212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*Дополнительное задание:</w:t>
      </w:r>
    </w:p>
    <w:p w14:paraId="50B89BAD" w14:textId="77777777" w:rsidR="002A47F9" w:rsidRDefault="002A47F9" w:rsidP="002A47F9">
      <w:r w:rsidRPr="002A47F9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Выберите любой объект страхования, к которому у вас есть страховой интерес. Опишите все существенные условия договора, если бы вы заключили его со страховщиком. Определите размер страховой суммы по договору страхования, от </w:t>
      </w:r>
      <w:proofErr w:type="gramStart"/>
      <w:r w:rsidRPr="002A47F9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каких  страховых</w:t>
      </w:r>
      <w:proofErr w:type="gramEnd"/>
      <w:r w:rsidRPr="002A47F9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случаев страхуется данный объект страхования. Опишите как будут </w:t>
      </w:r>
      <w:proofErr w:type="gramStart"/>
      <w:r w:rsidRPr="002A47F9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рассчитываться  страховая</w:t>
      </w:r>
      <w:proofErr w:type="gramEnd"/>
      <w:r w:rsidRPr="002A47F9"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премия и выплата. Чем будете руководствоваться при выборе страховой компании.</w:t>
      </w:r>
    </w:p>
    <w:p w14:paraId="3240DB7A" w14:textId="77777777" w:rsidR="002A47F9" w:rsidRPr="000A3ECF" w:rsidRDefault="002A47F9" w:rsidP="00466C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1967"/>
        <w:gridCol w:w="1457"/>
        <w:gridCol w:w="4848"/>
      </w:tblGrid>
      <w:tr w:rsidR="000A3ECF" w:rsidRPr="008551C0" w14:paraId="70A472CB" w14:textId="77777777" w:rsidTr="000A3ECF">
        <w:tc>
          <w:tcPr>
            <w:tcW w:w="1299" w:type="dxa"/>
          </w:tcPr>
          <w:p w14:paraId="30312244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967" w:type="dxa"/>
          </w:tcPr>
          <w:p w14:paraId="67FC5BD9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Части задания</w:t>
            </w:r>
          </w:p>
        </w:tc>
        <w:tc>
          <w:tcPr>
            <w:tcW w:w="1457" w:type="dxa"/>
          </w:tcPr>
          <w:p w14:paraId="575C892B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Балльная оценка</w:t>
            </w:r>
          </w:p>
        </w:tc>
        <w:tc>
          <w:tcPr>
            <w:tcW w:w="4848" w:type="dxa"/>
          </w:tcPr>
          <w:p w14:paraId="140721B2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0A3ECF" w:rsidRPr="008551C0" w14:paraId="7968E162" w14:textId="77777777" w:rsidTr="000A3ECF">
        <w:tc>
          <w:tcPr>
            <w:tcW w:w="1299" w:type="dxa"/>
            <w:vMerge w:val="restart"/>
          </w:tcPr>
          <w:p w14:paraId="6FD4BA5F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14:paraId="4EFECC9E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457" w:type="dxa"/>
          </w:tcPr>
          <w:p w14:paraId="1FFC97DA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8" w:type="dxa"/>
          </w:tcPr>
          <w:p w14:paraId="385A407E" w14:textId="77777777" w:rsidR="000A3ECF" w:rsidRPr="008551C0" w:rsidRDefault="000A3ECF" w:rsidP="000A3E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жизни: объекты, виды страхования, страховые случаи и особенность оценки рисков, сравнение накопительного и инвестиционного страхования жизни. Динамика развития страхования жизни в Российской Федерации.</w:t>
            </w:r>
          </w:p>
        </w:tc>
      </w:tr>
      <w:tr w:rsidR="000A3ECF" w:rsidRPr="008551C0" w14:paraId="423AB82C" w14:textId="77777777" w:rsidTr="000A3ECF">
        <w:tc>
          <w:tcPr>
            <w:tcW w:w="1299" w:type="dxa"/>
            <w:vMerge/>
          </w:tcPr>
          <w:p w14:paraId="479B74F9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</w:tcPr>
          <w:p w14:paraId="31E33E6A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57" w:type="dxa"/>
          </w:tcPr>
          <w:p w14:paraId="75DE26B2" w14:textId="77777777" w:rsidR="000A3ECF" w:rsidRPr="008551C0" w:rsidRDefault="000A3ECF" w:rsidP="007B71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8" w:type="dxa"/>
          </w:tcPr>
          <w:p w14:paraId="667F71B9" w14:textId="77777777" w:rsidR="00892529" w:rsidRPr="008551C0" w:rsidRDefault="006C7B6C" w:rsidP="00892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Рассчитать страховой тариф брутто по страхованию граждан от несчастного случая, если известно </w:t>
            </w:r>
            <w:r w:rsidR="0089252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вероятность страхового случая 0,05; средняя страховая сумма 400 тыс. у.е.; среднее страховое обеспечение 100 </w:t>
            </w:r>
            <w:proofErr w:type="spellStart"/>
            <w:r w:rsidR="0089252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="0089252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у.е.; количество заключённых договоров 5000; доля нагрузки в тарифной ставке 30%; средний разброс страхового обеспечения 50 тыс. у. е.</w:t>
            </w:r>
          </w:p>
        </w:tc>
      </w:tr>
      <w:tr w:rsidR="00DD6DF4" w:rsidRPr="008551C0" w14:paraId="1FF8D7BB" w14:textId="77777777" w:rsidTr="000A3ECF">
        <w:tc>
          <w:tcPr>
            <w:tcW w:w="1299" w:type="dxa"/>
            <w:vMerge w:val="restart"/>
          </w:tcPr>
          <w:p w14:paraId="61B85463" w14:textId="77777777" w:rsidR="00DD6DF4" w:rsidRPr="008551C0" w:rsidRDefault="00DD6DF4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</w:tcPr>
          <w:p w14:paraId="778A4316" w14:textId="77777777" w:rsidR="00DD6DF4" w:rsidRPr="008551C0" w:rsidRDefault="00DD6DF4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457" w:type="dxa"/>
          </w:tcPr>
          <w:p w14:paraId="0E3C9D21" w14:textId="77777777" w:rsidR="00DD6DF4" w:rsidRPr="008551C0" w:rsidRDefault="00DF2549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8" w:type="dxa"/>
          </w:tcPr>
          <w:p w14:paraId="4664B176" w14:textId="77777777" w:rsidR="00DD6DF4" w:rsidRPr="008551C0" w:rsidRDefault="00DD6DF4" w:rsidP="00DD6D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 автогражданской ответственности в РФ: объект страхования, определение размера тарифа, лимиты ответственности, особенность определения ущерба, порядок урегулирования убытков.</w:t>
            </w:r>
          </w:p>
        </w:tc>
      </w:tr>
      <w:tr w:rsidR="00DD6DF4" w:rsidRPr="008551C0" w14:paraId="0C79C80C" w14:textId="77777777" w:rsidTr="000A3ECF">
        <w:tc>
          <w:tcPr>
            <w:tcW w:w="1299" w:type="dxa"/>
            <w:vMerge/>
          </w:tcPr>
          <w:p w14:paraId="2878EEF0" w14:textId="77777777" w:rsidR="00DD6DF4" w:rsidRPr="008551C0" w:rsidRDefault="00DD6DF4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</w:tcPr>
          <w:p w14:paraId="42732409" w14:textId="77777777" w:rsidR="00DD6DF4" w:rsidRPr="008551C0" w:rsidRDefault="00DD6DF4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57" w:type="dxa"/>
          </w:tcPr>
          <w:p w14:paraId="563A459C" w14:textId="77777777" w:rsidR="00DD6DF4" w:rsidRPr="008551C0" w:rsidRDefault="00DD6DF4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8" w:type="dxa"/>
          </w:tcPr>
          <w:p w14:paraId="148D516F" w14:textId="77777777" w:rsidR="00DD6DF4" w:rsidRPr="008551C0" w:rsidRDefault="00913A8B" w:rsidP="00453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договору </w:t>
            </w:r>
            <w:proofErr w:type="spellStart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эксцедента</w:t>
            </w:r>
            <w:proofErr w:type="spellEnd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убытка приоритет цедента 2 млн. у.е., лимит перестраховочного покрытия 6 млн. у.е. Страховщик произвёл 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договорам на 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млн. у.е.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млн. у.е. и 9 млн. у.е.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сумму возмещения цессионарием цеденту.</w:t>
            </w:r>
          </w:p>
        </w:tc>
      </w:tr>
      <w:tr w:rsidR="00D3188C" w:rsidRPr="008551C0" w14:paraId="1570243E" w14:textId="77777777" w:rsidTr="000A3ECF">
        <w:tc>
          <w:tcPr>
            <w:tcW w:w="1299" w:type="dxa"/>
            <w:vMerge w:val="restart"/>
          </w:tcPr>
          <w:p w14:paraId="36FC3B18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</w:tcPr>
          <w:p w14:paraId="0573CD2E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457" w:type="dxa"/>
          </w:tcPr>
          <w:p w14:paraId="46931FCC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8" w:type="dxa"/>
          </w:tcPr>
          <w:p w14:paraId="1537B6E5" w14:textId="77777777" w:rsidR="00D3188C" w:rsidRPr="008551C0" w:rsidRDefault="00D3188C" w:rsidP="00AF53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Банкострахование</w:t>
            </w:r>
            <w:proofErr w:type="spellEnd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виды страхования, особенность проведения по каждому виду, динамика </w:t>
            </w:r>
            <w:r w:rsidR="00BF701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сборов.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188C" w:rsidRPr="008551C0" w14:paraId="7B3F1E58" w14:textId="77777777" w:rsidTr="000A3ECF">
        <w:tc>
          <w:tcPr>
            <w:tcW w:w="1299" w:type="dxa"/>
            <w:vMerge/>
          </w:tcPr>
          <w:p w14:paraId="0A2B2915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</w:tcPr>
          <w:p w14:paraId="34D3B3D7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57" w:type="dxa"/>
          </w:tcPr>
          <w:p w14:paraId="38A71533" w14:textId="77777777" w:rsidR="00D3188C" w:rsidRPr="008551C0" w:rsidRDefault="00D3188C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8" w:type="dxa"/>
          </w:tcPr>
          <w:p w14:paraId="7CE5140C" w14:textId="77777777" w:rsidR="00D3188C" w:rsidRPr="008551C0" w:rsidRDefault="00913A8B" w:rsidP="000B72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стоимость имущества предприятия АО «Орион»</w:t>
            </w:r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млрд.у.е</w:t>
            </w:r>
            <w:proofErr w:type="spellEnd"/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 Страховая компания 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заключил</w:t>
            </w:r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страхования с этим юридическим лицом со страховой суммой 500 </w:t>
            </w:r>
            <w:proofErr w:type="spellStart"/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</w:t>
            </w:r>
            <w:proofErr w:type="gramStart"/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  <w:proofErr w:type="gramEnd"/>
            <w:r w:rsidR="000B7285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безусловной франшизой 100 тыс. у.е.. В течение действия договора произошёл пожар на предприятии и ущерб составил 500 млн. у.е. Определить сумму страхового возмещения страховщиком.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7010" w:rsidRPr="008551C0" w14:paraId="2C3548AD" w14:textId="77777777" w:rsidTr="000A3ECF">
        <w:tc>
          <w:tcPr>
            <w:tcW w:w="1299" w:type="dxa"/>
            <w:vMerge w:val="restart"/>
          </w:tcPr>
          <w:p w14:paraId="3F7C1E44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7" w:type="dxa"/>
          </w:tcPr>
          <w:p w14:paraId="17A1D9C4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457" w:type="dxa"/>
          </w:tcPr>
          <w:p w14:paraId="372BFD7C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8" w:type="dxa"/>
          </w:tcPr>
          <w:p w14:paraId="2DA84A40" w14:textId="77777777" w:rsidR="00BF7010" w:rsidRPr="008551C0" w:rsidRDefault="00BF7010" w:rsidP="00AF53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рынок: субъекты страхового дела и участники, анализ страховых сборов и выплат за последние 3 отчетных даты. Перспективы развития страхового рынка в РФ.</w:t>
            </w:r>
          </w:p>
        </w:tc>
      </w:tr>
      <w:tr w:rsidR="00BF7010" w:rsidRPr="008551C0" w14:paraId="74DD512C" w14:textId="77777777" w:rsidTr="000A3ECF">
        <w:tc>
          <w:tcPr>
            <w:tcW w:w="1299" w:type="dxa"/>
            <w:vMerge/>
          </w:tcPr>
          <w:p w14:paraId="1331DD02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</w:tcPr>
          <w:p w14:paraId="7AF84621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57" w:type="dxa"/>
          </w:tcPr>
          <w:p w14:paraId="21A746DE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8" w:type="dxa"/>
          </w:tcPr>
          <w:p w14:paraId="29567543" w14:textId="77777777" w:rsidR="00BF7010" w:rsidRPr="008551C0" w:rsidRDefault="000321C9" w:rsidP="000321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Страхователь Иванов И.И. застрахован по ОСАГО в САО «ВСК». В результате ДТП Иванов нанёс ущерб потерпевшему Сидорову С.С., который застрахован по ОСАГО и КАСКО в АО Альфа Страхование. Ущерб 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потерпевшему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имуществу составил 350 тыс. </w:t>
            </w:r>
            <w:proofErr w:type="spellStart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з</w:t>
            </w:r>
            <w:r w:rsidR="004536F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доровью 50 тыс. руб. Опишите порядок урегулирования убытков страховыми компаниями.</w:t>
            </w:r>
          </w:p>
        </w:tc>
      </w:tr>
      <w:tr w:rsidR="00BF7010" w:rsidRPr="008551C0" w14:paraId="188EB085" w14:textId="77777777" w:rsidTr="000A3ECF">
        <w:tc>
          <w:tcPr>
            <w:tcW w:w="1299" w:type="dxa"/>
            <w:vMerge w:val="restart"/>
          </w:tcPr>
          <w:p w14:paraId="697FE9E9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</w:tcPr>
          <w:p w14:paraId="6B3D8342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457" w:type="dxa"/>
          </w:tcPr>
          <w:p w14:paraId="31E15F3B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8" w:type="dxa"/>
          </w:tcPr>
          <w:p w14:paraId="2E0F35C6" w14:textId="77777777" w:rsidR="00BF7010" w:rsidRPr="008551C0" w:rsidRDefault="00BF7010" w:rsidP="00AF53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Добровольное медицинское страхование (ДМС): объекты, страховые случаи, участники отношений по ДМС, </w:t>
            </w:r>
            <w:r w:rsidR="00B5623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реализуемые в рамках предложений, сравнение с ОМС. Динамика развития </w:t>
            </w:r>
            <w:r w:rsidR="00B56239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РФ.</w:t>
            </w:r>
          </w:p>
        </w:tc>
      </w:tr>
      <w:tr w:rsidR="00BF7010" w:rsidRPr="008551C0" w14:paraId="13C5062C" w14:textId="77777777" w:rsidTr="000A3ECF">
        <w:tc>
          <w:tcPr>
            <w:tcW w:w="1299" w:type="dxa"/>
            <w:vMerge/>
          </w:tcPr>
          <w:p w14:paraId="35168BA6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</w:tcPr>
          <w:p w14:paraId="3CF83506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57" w:type="dxa"/>
          </w:tcPr>
          <w:p w14:paraId="1916F93B" w14:textId="77777777" w:rsidR="00BF7010" w:rsidRPr="008551C0" w:rsidRDefault="00BF7010" w:rsidP="00AF5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8" w:type="dxa"/>
          </w:tcPr>
          <w:p w14:paraId="2163FBF1" w14:textId="77777777" w:rsidR="00BF7010" w:rsidRPr="008551C0" w:rsidRDefault="004536F9" w:rsidP="008551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компания заключила договор страхования имущества физического лица 01.08.2021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сроком на 1 год. Страховая брутто премия составила 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  <w:proofErr w:type="spellStart"/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Комиссионное вознаграждение агенту за этот договор заплатили 10 %. Определите резерв незаработанной премии (РНП) методом «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rata</w:t>
            </w:r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temporis</w:t>
            </w:r>
            <w:proofErr w:type="spellEnd"/>
            <w:r w:rsidR="008551C0" w:rsidRPr="00855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01.01.2022г</w:t>
            </w:r>
          </w:p>
        </w:tc>
      </w:tr>
    </w:tbl>
    <w:p w14:paraId="088A939D" w14:textId="064D267A" w:rsidR="007517BC" w:rsidRDefault="007517BC" w:rsidP="00DD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9D4A9" w14:textId="51F03607" w:rsidR="002A47F9" w:rsidRDefault="002A47F9" w:rsidP="00DD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59432" w14:textId="77777777" w:rsidR="002A47F9" w:rsidRPr="00466C35" w:rsidRDefault="002A47F9" w:rsidP="00DD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47F9" w:rsidRPr="00466C35" w:rsidSect="0028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224D"/>
    <w:multiLevelType w:val="hybridMultilevel"/>
    <w:tmpl w:val="BDB0B640"/>
    <w:lvl w:ilvl="0" w:tplc="7ABA8E6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D212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7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17"/>
    <w:rsid w:val="00001086"/>
    <w:rsid w:val="000321C9"/>
    <w:rsid w:val="000A3ECF"/>
    <w:rsid w:val="000B5180"/>
    <w:rsid w:val="000B7285"/>
    <w:rsid w:val="00136DC5"/>
    <w:rsid w:val="001B7890"/>
    <w:rsid w:val="00286FAD"/>
    <w:rsid w:val="002A47F9"/>
    <w:rsid w:val="002A518E"/>
    <w:rsid w:val="002C5F20"/>
    <w:rsid w:val="002C621B"/>
    <w:rsid w:val="004536F9"/>
    <w:rsid w:val="00466C35"/>
    <w:rsid w:val="0052732B"/>
    <w:rsid w:val="00684292"/>
    <w:rsid w:val="006C7B6C"/>
    <w:rsid w:val="007517BC"/>
    <w:rsid w:val="007B710B"/>
    <w:rsid w:val="008551C0"/>
    <w:rsid w:val="00884A97"/>
    <w:rsid w:val="00887616"/>
    <w:rsid w:val="00892529"/>
    <w:rsid w:val="00913A8B"/>
    <w:rsid w:val="00A77C25"/>
    <w:rsid w:val="00B56239"/>
    <w:rsid w:val="00BF7010"/>
    <w:rsid w:val="00D3188C"/>
    <w:rsid w:val="00D44517"/>
    <w:rsid w:val="00D6794E"/>
    <w:rsid w:val="00DC5C40"/>
    <w:rsid w:val="00DD6DF4"/>
    <w:rsid w:val="00DF2549"/>
    <w:rsid w:val="00E64046"/>
    <w:rsid w:val="00EF24D3"/>
    <w:rsid w:val="00F20B20"/>
    <w:rsid w:val="00F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45E"/>
  <w15:docId w15:val="{E11FC077-8B8E-4C7B-A94A-8EAAA9D1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Ilya Kochegarov</cp:lastModifiedBy>
  <cp:revision>9</cp:revision>
  <dcterms:created xsi:type="dcterms:W3CDTF">2021-10-20T23:30:00Z</dcterms:created>
  <dcterms:modified xsi:type="dcterms:W3CDTF">2022-12-08T10:29:00Z</dcterms:modified>
</cp:coreProperties>
</file>