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0F" w:rsidRPr="00D03BC4" w:rsidRDefault="00D03BC4" w:rsidP="00D03BC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Произвести п</w:t>
      </w:r>
      <w:r w:rsidRPr="00D03BC4">
        <w:rPr>
          <w:rFonts w:ascii="Times New Roman" w:hAnsi="Times New Roman" w:cs="Times New Roman"/>
          <w:sz w:val="28"/>
        </w:rPr>
        <w:t>орядок графического построения оси лопасти рабочего колеса центробежного насоса.</w:t>
      </w:r>
      <w:bookmarkStart w:id="0" w:name="_GoBack"/>
      <w:bookmarkEnd w:id="0"/>
    </w:p>
    <w:sectPr w:rsidR="00B6020F" w:rsidRPr="00D0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9B"/>
    <w:rsid w:val="00856E9B"/>
    <w:rsid w:val="00B6020F"/>
    <w:rsid w:val="00D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79B9"/>
  <w15:chartTrackingRefBased/>
  <w15:docId w15:val="{55FA1778-B314-4234-883F-610BF8B9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2022-12-14T12:51:00Z</dcterms:created>
  <dcterms:modified xsi:type="dcterms:W3CDTF">2022-12-14T12:52:00Z</dcterms:modified>
</cp:coreProperties>
</file>