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1C3" w:rsidRPr="007B6BAE" w:rsidRDefault="003921C3" w:rsidP="003921C3">
      <w:pPr>
        <w:spacing w:after="0" w:line="240" w:lineRule="auto"/>
        <w:jc w:val="both"/>
        <w:rPr>
          <w:rFonts w:ascii="Times New Roman" w:eastAsia="Times New Roman" w:hAnsi="Times New Roman" w:cs="Times New Roman"/>
          <w:color w:val="000000"/>
          <w:sz w:val="32"/>
          <w:szCs w:val="32"/>
          <w:lang w:val="en-US" w:eastAsia="ru-RU"/>
        </w:rPr>
      </w:pPr>
      <w:bookmarkStart w:id="0" w:name="_GoBack"/>
      <w:r w:rsidRPr="007B6BAE">
        <w:rPr>
          <w:rFonts w:ascii="Times New Roman" w:eastAsia="Times New Roman" w:hAnsi="Times New Roman" w:cs="Times New Roman"/>
          <w:color w:val="000000"/>
          <w:sz w:val="32"/>
          <w:szCs w:val="32"/>
          <w:lang w:val="en-US" w:eastAsia="ru-RU"/>
        </w:rPr>
        <w:t>Education</w:t>
      </w:r>
    </w:p>
    <w:p w:rsidR="003921C3" w:rsidRPr="007B6BAE" w:rsidRDefault="003921C3" w:rsidP="003921C3">
      <w:pPr>
        <w:spacing w:after="0" w:line="240" w:lineRule="auto"/>
        <w:jc w:val="both"/>
        <w:rPr>
          <w:rFonts w:ascii="Times New Roman" w:eastAsia="Times New Roman" w:hAnsi="Times New Roman" w:cs="Times New Roman"/>
          <w:color w:val="000000"/>
          <w:sz w:val="32"/>
          <w:szCs w:val="32"/>
          <w:lang w:val="en-US" w:eastAsia="ru-RU"/>
        </w:rPr>
      </w:pPr>
    </w:p>
    <w:p w:rsidR="003921C3" w:rsidRPr="007B6BAE" w:rsidRDefault="003921C3" w:rsidP="003921C3">
      <w:pPr>
        <w:spacing w:after="0" w:line="240" w:lineRule="auto"/>
        <w:jc w:val="both"/>
        <w:rPr>
          <w:rFonts w:ascii="Times New Roman" w:eastAsia="Times New Roman" w:hAnsi="Times New Roman" w:cs="Times New Roman"/>
          <w:color w:val="000000"/>
          <w:sz w:val="32"/>
          <w:szCs w:val="32"/>
          <w:lang w:val="en-US" w:eastAsia="ru-RU"/>
        </w:rPr>
      </w:pPr>
      <w:r w:rsidRPr="007B6BAE">
        <w:rPr>
          <w:rFonts w:ascii="Times New Roman" w:eastAsia="Times New Roman" w:hAnsi="Times New Roman" w:cs="Times New Roman"/>
          <w:color w:val="000000"/>
          <w:sz w:val="32"/>
          <w:szCs w:val="32"/>
          <w:lang w:val="en-US" w:eastAsia="ru-RU"/>
        </w:rPr>
        <w:t>One of the fundamental human civil rights and freedoms is the right for education. It is closely linked to the rest of the basic rights and freedoms which are stated in the Constitution of the Russian Federation. We can exercise these rights both in the process of receiving education and after achieving a certain level of education. The right to education performs as an integrating connection system of fundamental human rights and freedoms.</w:t>
      </w:r>
    </w:p>
    <w:p w:rsidR="003921C3" w:rsidRPr="007B6BAE" w:rsidRDefault="003921C3" w:rsidP="003921C3">
      <w:pPr>
        <w:spacing w:after="0" w:line="240" w:lineRule="auto"/>
        <w:jc w:val="both"/>
        <w:rPr>
          <w:rFonts w:ascii="Times New Roman" w:eastAsia="Times New Roman" w:hAnsi="Times New Roman" w:cs="Times New Roman"/>
          <w:color w:val="000000"/>
          <w:sz w:val="32"/>
          <w:szCs w:val="32"/>
          <w:lang w:val="en-US" w:eastAsia="ru-RU"/>
        </w:rPr>
      </w:pPr>
    </w:p>
    <w:p w:rsidR="003B7B63" w:rsidRPr="003921C3" w:rsidRDefault="003921C3" w:rsidP="003921C3">
      <w:pPr>
        <w:spacing w:after="0" w:line="240" w:lineRule="auto"/>
        <w:jc w:val="both"/>
        <w:rPr>
          <w:rFonts w:ascii="Times New Roman" w:eastAsia="Times New Roman" w:hAnsi="Times New Roman" w:cs="Times New Roman"/>
          <w:color w:val="000000"/>
          <w:sz w:val="32"/>
          <w:szCs w:val="32"/>
          <w:lang w:val="en-US" w:eastAsia="ru-RU"/>
        </w:rPr>
      </w:pPr>
      <w:r w:rsidRPr="007B6BAE">
        <w:rPr>
          <w:rFonts w:ascii="Times New Roman" w:eastAsia="Times New Roman" w:hAnsi="Times New Roman" w:cs="Times New Roman"/>
          <w:color w:val="000000"/>
          <w:sz w:val="32"/>
          <w:szCs w:val="32"/>
          <w:lang w:val="en-US" w:eastAsia="ru-RU"/>
        </w:rPr>
        <w:t xml:space="preserve">The educational law regulations similar to other branches of law are contained in various sources of law. In accordance with the Federal Law of Education in the Russian Federation, the laws in the field of education in our country constitute a three-level system: </w:t>
      </w:r>
      <w:proofErr w:type="gramStart"/>
      <w:r w:rsidRPr="007B6BAE">
        <w:rPr>
          <w:rFonts w:ascii="Times New Roman" w:eastAsia="Times New Roman" w:hAnsi="Times New Roman" w:cs="Times New Roman"/>
          <w:color w:val="000000"/>
          <w:sz w:val="32"/>
          <w:szCs w:val="32"/>
          <w:lang w:val="en-US" w:eastAsia="ru-RU"/>
        </w:rPr>
        <w:t>the</w:t>
      </w:r>
      <w:proofErr w:type="gramEnd"/>
      <w:r w:rsidRPr="007B6BAE">
        <w:rPr>
          <w:rFonts w:ascii="Times New Roman" w:eastAsia="Times New Roman" w:hAnsi="Times New Roman" w:cs="Times New Roman"/>
          <w:color w:val="000000"/>
          <w:sz w:val="32"/>
          <w:szCs w:val="32"/>
          <w:lang w:val="en-US" w:eastAsia="ru-RU"/>
        </w:rPr>
        <w:t xml:space="preserve"> Constitution of the Russian Federation, Federal Laws, Laws of the subjects of the Russian </w:t>
      </w:r>
      <w:bookmarkEnd w:id="0"/>
      <w:r w:rsidRPr="007B6BAE">
        <w:rPr>
          <w:rFonts w:ascii="Times New Roman" w:eastAsia="Times New Roman" w:hAnsi="Times New Roman" w:cs="Times New Roman"/>
          <w:color w:val="000000"/>
          <w:sz w:val="32"/>
          <w:szCs w:val="32"/>
          <w:lang w:val="en-US" w:eastAsia="ru-RU"/>
        </w:rPr>
        <w:t xml:space="preserve">Federation. </w:t>
      </w:r>
    </w:p>
    <w:sectPr w:rsidR="003B7B63" w:rsidRPr="003921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1C3"/>
    <w:rsid w:val="003921C3"/>
    <w:rsid w:val="003B7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6F1A2"/>
  <w15:chartTrackingRefBased/>
  <w15:docId w15:val="{EEAEE2D0-537D-436C-80DF-EECC92C5A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1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80AC454CBE75B4FBE458DA4B49A674A" ma:contentTypeVersion="16" ma:contentTypeDescription="Создание документа." ma:contentTypeScope="" ma:versionID="28acb0a198184a432dacde2bfc639f1e">
  <xsd:schema xmlns:xsd="http://www.w3.org/2001/XMLSchema" xmlns:xs="http://www.w3.org/2001/XMLSchema" xmlns:p="http://schemas.microsoft.com/office/2006/metadata/properties" xmlns:ns2="a0973c3d-34f8-431d-b643-2c5ce2c57f99" xmlns:ns3="9ee27ac1-f75f-4895-b0b0-a9789f7e5a8c" targetNamespace="http://schemas.microsoft.com/office/2006/metadata/properties" ma:root="true" ma:fieldsID="fc1d73f0f23ebb4e6e1f1650f8f3deca" ns2:_="" ns3:_="">
    <xsd:import namespace="a0973c3d-34f8-431d-b643-2c5ce2c57f99"/>
    <xsd:import namespace="9ee27ac1-f75f-4895-b0b0-a9789f7e5a8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73c3d-34f8-431d-b643-2c5ce2c57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bd7150f8-60ff-4bdc-bab3-73d29adc48a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ee27ac1-f75f-4895-b0b0-a9789f7e5a8c"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48d8966b-2fc6-46fe-b365-b47016a95898}" ma:internalName="TaxCatchAll" ma:showField="CatchAllData" ma:web="9ee27ac1-f75f-4895-b0b0-a9789f7e5a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ee27ac1-f75f-4895-b0b0-a9789f7e5a8c" xsi:nil="true"/>
    <lcf76f155ced4ddcb4097134ff3c332f xmlns="a0973c3d-34f8-431d-b643-2c5ce2c57f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B87184-4999-4DD7-8DC9-953AC0F289D6}"/>
</file>

<file path=customXml/itemProps2.xml><?xml version="1.0" encoding="utf-8"?>
<ds:datastoreItem xmlns:ds="http://schemas.openxmlformats.org/officeDocument/2006/customXml" ds:itemID="{356F2B14-BB4B-4F55-B207-34A3A9AFF289}"/>
</file>

<file path=customXml/itemProps3.xml><?xml version="1.0" encoding="utf-8"?>
<ds:datastoreItem xmlns:ds="http://schemas.openxmlformats.org/officeDocument/2006/customXml" ds:itemID="{B32DC84D-55B3-4806-80F3-00451C1FAFB4}"/>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705</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2022-12-20T08:44:00Z</dcterms:created>
  <dcterms:modified xsi:type="dcterms:W3CDTF">2022-12-20T08:44:00Z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0x010100F80AC454CBE75B4FBE458DA4B49A674A</vt:lpwstr>
  </property>
</Properties>
</file>