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lang w:val="ru-RU"/>
        </w:rPr>
        <w:t>1)</w:t>
      </w:r>
      <w:r>
        <w:rPr>
          <w:rFonts w:ascii="times new roman, times, serif"/>
          <w:color w:val="000000"/>
          <w:sz w:val="24"/>
          <w:rtl w:val="off"/>
          <w:lang w:val="en-US"/>
        </w:rPr>
        <w:t>Какие процессы, происходящие на границе конденсированных фаз с воздухом, могут вызывать понижение энергии гетерогенной системы?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2.Чем отличается хемосорбция от физической адсорбции?</w:t>
      </w:r>
      <w:r>
        <w:rPr>
          <w:rFonts w:ascii="times new roman, times, serif"/>
          <w:color w:val="000000"/>
          <w:sz w:val="24"/>
          <w:rtl w:val="off"/>
          <w:lang w:val="en-US"/>
        </w:rPr>
        <w:br w:type="textWrapping"/>
      </w:r>
      <w:r>
        <w:rPr>
          <w:rFonts w:ascii="times new roman, times, serif"/>
          <w:color w:val="000000"/>
          <w:sz w:val="24"/>
          <w:rtl w:val="off"/>
          <w:lang w:val="en-US"/>
        </w:rPr>
        <w:t>Получите уравнение, связывающее полную адсорбцию с Гиббсовской.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3.Что Вы знаете о классификации ПАВ?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4.Что такое изотерма поверхностного натяжения?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5.Какие уравнения, характеризующие адсорбцию, Вы знаете?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6.Что такое поверхностная активность?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7.Как ее определяют по экспериментальным данным?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8.Что такое работа адсорбции?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9.Как определить параметры молекул ПАВ?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10.Взаимосвязь между какими характеристиками поверхностного слоя устанавливает уравнение Шишковского?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11.Что такое расклинивающее давление?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12.Каков его физический смысл?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13.Какие варианты поведения коллоидной системы возможны в зависимости от соотношения величины потенциального барьера, глубины потенциальных ям и кинетической энергии частиц дисперсной фазы.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14.Дайте определение коагуляции. Приведите ее количественные характеристики.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15.Проанализируйте два возможных механизма влияния электролитов на устойчивость гидрозолей. Обоснуйте правило Шульце-Гарди используя положения теории ДЛФО.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16.Чем можно объяснить неполное соответствие теоретически полученных порогов коагуляции с экспериментальными результатами?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17.Сформулируйте основные закономерности электролитной коагуляции (правила коагуляции).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hanging="360"/>
        <w:jc w:val="left"/>
        <w:rPr>
          <w:rFonts w:ascii="times new roman, times, serif"/>
          <w:color w:val="000000"/>
          <w:sz w:val="24"/>
          <w:lang w:val="en-US"/>
        </w:rPr>
      </w:pPr>
      <w:r>
        <w:rPr>
          <w:rFonts w:ascii="times new roman, times, serif"/>
          <w:color w:val="000000"/>
          <w:sz w:val="24"/>
          <w:rtl w:val="off"/>
          <w:lang w:val="en-US"/>
        </w:rPr>
        <w:t>18.В чем суть явления коллоидной защиты? Для чего оно применяется?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, times, serif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