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4C" w:rsidRDefault="001E524C">
      <w:r>
        <w:t>1. Классическим методом рассчитать, в соответствии с вариантом, (</w:t>
      </w:r>
      <w:proofErr w:type="gramStart"/>
      <w:r>
        <w:t>см</w:t>
      </w:r>
      <w:proofErr w:type="gramEnd"/>
      <w:r>
        <w:t xml:space="preserve">. табл. 4.2) зависимости токов и напряжения после замыкания ключа. </w:t>
      </w:r>
    </w:p>
    <w:p w:rsidR="001E524C" w:rsidRDefault="001E524C">
      <w:r>
        <w:t>2. Определить длительность переходного процесса.</w:t>
      </w:r>
    </w:p>
    <w:p w:rsidR="001E524C" w:rsidRDefault="001E524C">
      <w:r>
        <w:t xml:space="preserve">3. Построить графики найденных зависимостей токов и напряжений. </w:t>
      </w:r>
    </w:p>
    <w:p w:rsidR="009C259D" w:rsidRDefault="001E524C">
      <w:r>
        <w:t>4. Определить ток i2(</w:t>
      </w:r>
      <w:proofErr w:type="spellStart"/>
      <w:r>
        <w:t>t</w:t>
      </w:r>
      <w:proofErr w:type="spellEnd"/>
      <w:r>
        <w:t xml:space="preserve">) операторным методом, используя найденные </w:t>
      </w:r>
      <w:proofErr w:type="spellStart"/>
      <w:r>
        <w:t>ра</w:t>
      </w:r>
      <w:proofErr w:type="spellEnd"/>
      <w:r>
        <w:t xml:space="preserve">нее начальные условия для непрерывных переменных (по указанию </w:t>
      </w:r>
      <w:proofErr w:type="spellStart"/>
      <w:proofErr w:type="gramStart"/>
      <w:r>
        <w:t>препода</w:t>
      </w:r>
      <w:proofErr w:type="spellEnd"/>
      <w:r>
        <w:t/>
      </w:r>
      <w:proofErr w:type="spellStart"/>
      <w:r>
        <w:t>вателя</w:t>
      </w:r>
      <w:proofErr w:type="spellEnd"/>
      <w:proofErr w:type="gramEnd"/>
      <w:r>
        <w:t>).</w:t>
      </w:r>
    </w:p>
    <w:tbl>
      <w:tblPr>
        <w:tblStyle w:val="a4"/>
        <w:tblW w:w="0" w:type="auto"/>
        <w:tblLayout w:type="fixed"/>
        <w:tblLook w:val="04A0"/>
      </w:tblPr>
      <w:tblGrid>
        <w:gridCol w:w="1214"/>
        <w:gridCol w:w="595"/>
        <w:gridCol w:w="544"/>
        <w:gridCol w:w="625"/>
        <w:gridCol w:w="625"/>
        <w:gridCol w:w="711"/>
        <w:gridCol w:w="633"/>
        <w:gridCol w:w="633"/>
        <w:gridCol w:w="633"/>
        <w:gridCol w:w="633"/>
        <w:gridCol w:w="633"/>
        <w:gridCol w:w="2092"/>
      </w:tblGrid>
      <w:tr w:rsidR="001E524C" w:rsidTr="001E524C">
        <w:trPr>
          <w:trHeight w:val="369"/>
        </w:trPr>
        <w:tc>
          <w:tcPr>
            <w:tcW w:w="1214" w:type="dxa"/>
            <w:vMerge w:val="restart"/>
          </w:tcPr>
          <w:p w:rsidR="001E524C" w:rsidRDefault="001E524C">
            <w:r>
              <w:t>Вариант</w:t>
            </w:r>
          </w:p>
        </w:tc>
        <w:tc>
          <w:tcPr>
            <w:tcW w:w="595" w:type="dxa"/>
            <w:vMerge w:val="restart"/>
          </w:tcPr>
          <w:p w:rsidR="001E524C" w:rsidRDefault="001E524C">
            <w:r>
              <w:t>E,В</w:t>
            </w:r>
          </w:p>
        </w:tc>
        <w:tc>
          <w:tcPr>
            <w:tcW w:w="544" w:type="dxa"/>
            <w:vMerge w:val="restart"/>
          </w:tcPr>
          <w:p w:rsidR="001E524C" w:rsidRDefault="001E524C" w:rsidP="001E524C">
            <w:r>
              <w:t xml:space="preserve">R1, </w:t>
            </w:r>
            <w:proofErr w:type="spellStart"/>
            <w:r>
              <w:t>ом</w:t>
            </w:r>
            <w:proofErr w:type="spellEnd"/>
          </w:p>
        </w:tc>
        <w:tc>
          <w:tcPr>
            <w:tcW w:w="625" w:type="dxa"/>
            <w:vMerge w:val="restart"/>
          </w:tcPr>
          <w:p w:rsidR="001E524C" w:rsidRDefault="001E524C">
            <w:r>
              <w:t>R2, Ом</w:t>
            </w:r>
          </w:p>
        </w:tc>
        <w:tc>
          <w:tcPr>
            <w:tcW w:w="625" w:type="dxa"/>
            <w:vMerge w:val="restart"/>
          </w:tcPr>
          <w:p w:rsidR="001E524C" w:rsidRDefault="001E524C">
            <w:r>
              <w:t>R3, Ом</w:t>
            </w:r>
          </w:p>
        </w:tc>
        <w:tc>
          <w:tcPr>
            <w:tcW w:w="711" w:type="dxa"/>
            <w:vMerge w:val="restart"/>
          </w:tcPr>
          <w:p w:rsidR="001E524C" w:rsidRDefault="001E524C">
            <w:r>
              <w:t>L, мГн</w:t>
            </w:r>
          </w:p>
        </w:tc>
        <w:tc>
          <w:tcPr>
            <w:tcW w:w="3165" w:type="dxa"/>
            <w:gridSpan w:val="5"/>
          </w:tcPr>
          <w:p w:rsidR="001E524C" w:rsidRDefault="001E524C" w:rsidP="001E524C">
            <w:pPr>
              <w:jc w:val="center"/>
            </w:pPr>
            <w:r>
              <w:t>С, мкФ</w:t>
            </w:r>
          </w:p>
        </w:tc>
        <w:tc>
          <w:tcPr>
            <w:tcW w:w="2092" w:type="dxa"/>
            <w:vMerge w:val="restart"/>
          </w:tcPr>
          <w:p w:rsidR="001E524C" w:rsidRDefault="001E524C">
            <w:proofErr w:type="spellStart"/>
            <w:r>
              <w:t>Расчитываемые</w:t>
            </w:r>
            <w:proofErr w:type="spellEnd"/>
          </w:p>
          <w:p w:rsidR="001E524C" w:rsidRDefault="001E524C">
            <w:r>
              <w:t>зависимости</w:t>
            </w:r>
          </w:p>
        </w:tc>
      </w:tr>
      <w:tr w:rsidR="001E524C" w:rsidTr="001E524C">
        <w:trPr>
          <w:trHeight w:val="368"/>
        </w:trPr>
        <w:tc>
          <w:tcPr>
            <w:tcW w:w="1214" w:type="dxa"/>
            <w:vMerge/>
          </w:tcPr>
          <w:p w:rsidR="001E524C" w:rsidRDefault="001E524C"/>
        </w:tc>
        <w:tc>
          <w:tcPr>
            <w:tcW w:w="595" w:type="dxa"/>
            <w:vMerge/>
          </w:tcPr>
          <w:p w:rsidR="001E524C" w:rsidRDefault="001E524C"/>
        </w:tc>
        <w:tc>
          <w:tcPr>
            <w:tcW w:w="544" w:type="dxa"/>
            <w:vMerge/>
          </w:tcPr>
          <w:p w:rsidR="001E524C" w:rsidRDefault="001E524C" w:rsidP="001E524C"/>
        </w:tc>
        <w:tc>
          <w:tcPr>
            <w:tcW w:w="625" w:type="dxa"/>
            <w:vMerge/>
          </w:tcPr>
          <w:p w:rsidR="001E524C" w:rsidRDefault="001E524C"/>
        </w:tc>
        <w:tc>
          <w:tcPr>
            <w:tcW w:w="625" w:type="dxa"/>
            <w:vMerge/>
          </w:tcPr>
          <w:p w:rsidR="001E524C" w:rsidRDefault="001E524C"/>
        </w:tc>
        <w:tc>
          <w:tcPr>
            <w:tcW w:w="711" w:type="dxa"/>
            <w:vMerge/>
          </w:tcPr>
          <w:p w:rsidR="001E524C" w:rsidRDefault="001E524C"/>
        </w:tc>
        <w:tc>
          <w:tcPr>
            <w:tcW w:w="633" w:type="dxa"/>
          </w:tcPr>
          <w:p w:rsidR="001E524C" w:rsidRDefault="001E524C">
            <w:r>
              <w:t>№1</w:t>
            </w:r>
          </w:p>
        </w:tc>
        <w:tc>
          <w:tcPr>
            <w:tcW w:w="633" w:type="dxa"/>
          </w:tcPr>
          <w:p w:rsidR="001E524C" w:rsidRDefault="001E524C">
            <w:r>
              <w:t>№2</w:t>
            </w:r>
          </w:p>
        </w:tc>
        <w:tc>
          <w:tcPr>
            <w:tcW w:w="633" w:type="dxa"/>
          </w:tcPr>
          <w:p w:rsidR="001E524C" w:rsidRDefault="001E524C">
            <w:r>
              <w:t>№3</w:t>
            </w:r>
          </w:p>
        </w:tc>
        <w:tc>
          <w:tcPr>
            <w:tcW w:w="633" w:type="dxa"/>
          </w:tcPr>
          <w:p w:rsidR="001E524C" w:rsidRDefault="001E524C">
            <w:r>
              <w:t>№4</w:t>
            </w:r>
          </w:p>
        </w:tc>
        <w:tc>
          <w:tcPr>
            <w:tcW w:w="633" w:type="dxa"/>
          </w:tcPr>
          <w:p w:rsidR="001E524C" w:rsidRDefault="001E524C">
            <w:r>
              <w:t>№5</w:t>
            </w:r>
          </w:p>
        </w:tc>
        <w:tc>
          <w:tcPr>
            <w:tcW w:w="2092" w:type="dxa"/>
            <w:vMerge/>
          </w:tcPr>
          <w:p w:rsidR="001E524C" w:rsidRDefault="001E524C"/>
        </w:tc>
      </w:tr>
      <w:tr w:rsidR="001E524C" w:rsidTr="001E524C">
        <w:tc>
          <w:tcPr>
            <w:tcW w:w="1214" w:type="dxa"/>
          </w:tcPr>
          <w:p w:rsidR="001E524C" w:rsidRDefault="001E524C">
            <w:r>
              <w:t>14</w:t>
            </w:r>
          </w:p>
        </w:tc>
        <w:tc>
          <w:tcPr>
            <w:tcW w:w="595" w:type="dxa"/>
          </w:tcPr>
          <w:p w:rsidR="001E524C" w:rsidRPr="001E524C" w:rsidRDefault="001E524C" w:rsidP="001E524C">
            <w:pPr>
              <w:rPr>
                <w:sz w:val="24"/>
                <w:szCs w:val="24"/>
              </w:rPr>
            </w:pPr>
            <w:r w:rsidRPr="001E524C">
              <w:rPr>
                <w:sz w:val="24"/>
                <w:szCs w:val="24"/>
              </w:rPr>
              <w:t>100</w:t>
            </w:r>
          </w:p>
        </w:tc>
        <w:tc>
          <w:tcPr>
            <w:tcW w:w="544" w:type="dxa"/>
          </w:tcPr>
          <w:p w:rsidR="001E524C" w:rsidRPr="001E524C" w:rsidRDefault="001E52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5" w:type="dxa"/>
          </w:tcPr>
          <w:p w:rsidR="001E524C" w:rsidRDefault="001E524C">
            <w:r>
              <w:t>40</w:t>
            </w:r>
          </w:p>
        </w:tc>
        <w:tc>
          <w:tcPr>
            <w:tcW w:w="625" w:type="dxa"/>
          </w:tcPr>
          <w:p w:rsidR="001E524C" w:rsidRDefault="001E524C">
            <w:r>
              <w:t>-</w:t>
            </w:r>
          </w:p>
        </w:tc>
        <w:tc>
          <w:tcPr>
            <w:tcW w:w="711" w:type="dxa"/>
          </w:tcPr>
          <w:p w:rsidR="001E524C" w:rsidRDefault="001E524C">
            <w:r>
              <w:t>125</w:t>
            </w:r>
          </w:p>
        </w:tc>
        <w:tc>
          <w:tcPr>
            <w:tcW w:w="633" w:type="dxa"/>
          </w:tcPr>
          <w:p w:rsidR="001E524C" w:rsidRPr="001E524C" w:rsidRDefault="001E524C">
            <w:pPr>
              <w:rPr>
                <w:sz w:val="24"/>
                <w:szCs w:val="24"/>
              </w:rPr>
            </w:pPr>
            <w:r w:rsidRPr="001E524C">
              <w:rPr>
                <w:sz w:val="24"/>
                <w:szCs w:val="24"/>
              </w:rPr>
              <w:t>170</w:t>
            </w:r>
          </w:p>
        </w:tc>
        <w:tc>
          <w:tcPr>
            <w:tcW w:w="633" w:type="dxa"/>
          </w:tcPr>
          <w:p w:rsidR="001E524C" w:rsidRPr="001E524C" w:rsidRDefault="001E524C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1E524C" w:rsidRDefault="001E524C"/>
        </w:tc>
        <w:tc>
          <w:tcPr>
            <w:tcW w:w="633" w:type="dxa"/>
          </w:tcPr>
          <w:p w:rsidR="001E524C" w:rsidRDefault="001E524C"/>
        </w:tc>
        <w:tc>
          <w:tcPr>
            <w:tcW w:w="633" w:type="dxa"/>
          </w:tcPr>
          <w:p w:rsidR="001E524C" w:rsidRDefault="001E524C"/>
        </w:tc>
        <w:tc>
          <w:tcPr>
            <w:tcW w:w="2092" w:type="dxa"/>
          </w:tcPr>
          <w:p w:rsidR="001E524C" w:rsidRPr="005E3409" w:rsidRDefault="001E524C">
            <w:pPr>
              <w:rPr>
                <w:lang w:val="en-US"/>
              </w:rPr>
            </w:pPr>
            <w:r>
              <w:t>i1(</w:t>
            </w:r>
            <w:proofErr w:type="spellStart"/>
            <w:r>
              <w:t>t</w:t>
            </w:r>
            <w:proofErr w:type="spellEnd"/>
            <w:r>
              <w:t>), i2(</w:t>
            </w:r>
            <w:proofErr w:type="spellStart"/>
            <w:r>
              <w:t>t</w:t>
            </w:r>
            <w:proofErr w:type="spellEnd"/>
            <w:r>
              <w:t xml:space="preserve">), </w:t>
            </w:r>
            <w:proofErr w:type="spellStart"/>
            <w:r>
              <w:t>uC</w:t>
            </w:r>
            <w:proofErr w:type="spellEnd"/>
            <w:r>
              <w:t>(</w:t>
            </w:r>
            <w:proofErr w:type="spellStart"/>
            <w:r>
              <w:t>t</w:t>
            </w:r>
            <w:proofErr w:type="spellEnd"/>
            <w:r>
              <w:t>)</w:t>
            </w:r>
          </w:p>
        </w:tc>
      </w:tr>
    </w:tbl>
    <w:p w:rsidR="001E524C" w:rsidRDefault="001E524C">
      <w:pPr>
        <w:rPr>
          <w:lang w:val="en-US"/>
        </w:rPr>
      </w:pPr>
    </w:p>
    <w:p w:rsidR="005E3409" w:rsidRDefault="005E340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684780" cy="1631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409" w:rsidRDefault="005E3409" w:rsidP="005E3409">
      <w:pPr>
        <w:jc w:val="center"/>
        <w:rPr>
          <w:b/>
        </w:rPr>
      </w:pPr>
      <w:r w:rsidRPr="005E3409">
        <w:rPr>
          <w:b/>
        </w:rPr>
        <w:t>Пример выполнения:</w:t>
      </w:r>
    </w:p>
    <w:p w:rsidR="005E3409" w:rsidRDefault="005E3409" w:rsidP="00940FA4">
      <w:pPr>
        <w:jc w:val="center"/>
        <w:rPr>
          <w:b/>
          <w:lang w:val="en-US"/>
        </w:rPr>
      </w:pPr>
      <w:r>
        <w:t xml:space="preserve">Анализ переходных процессов в линейных электрических цепях </w:t>
      </w:r>
      <w:proofErr w:type="spellStart"/>
      <w:r>
        <w:t>состо</w:t>
      </w:r>
      <w:proofErr w:type="spellEnd"/>
      <w:r>
        <w:t/>
      </w:r>
    </w:p>
    <w:p w:rsidR="005E3409" w:rsidRDefault="00940FA4" w:rsidP="00940FA4">
      <w:pPr>
        <w:spacing w:after="200" w:line="276" w:lineRule="auto"/>
        <w:rPr>
          <w:b/>
          <w:lang w:val="en-US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39790" cy="7366635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36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409" w:rsidRPr="005E3409">
        <w:rPr>
          <w:b/>
        </w:rPr>
        <w:br w:type="page"/>
      </w:r>
      <w:r>
        <w:rPr>
          <w:b/>
          <w:noProof/>
          <w:lang w:eastAsia="ru-RU"/>
        </w:rPr>
        <w:lastRenderedPageBreak/>
        <w:drawing>
          <wp:inline distT="0" distB="0" distL="0" distR="0">
            <wp:extent cx="5932805" cy="71469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14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FA4" w:rsidRDefault="00940FA4" w:rsidP="00940FA4">
      <w:pPr>
        <w:spacing w:after="200" w:line="276" w:lineRule="auto"/>
        <w:rPr>
          <w:b/>
          <w:lang w:val="en-US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39790" cy="7527290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2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FA4" w:rsidRDefault="00940FA4" w:rsidP="00940FA4">
      <w:pPr>
        <w:spacing w:after="200" w:line="276" w:lineRule="auto"/>
        <w:rPr>
          <w:b/>
          <w:lang w:val="en-US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39790" cy="3416300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1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lastRenderedPageBreak/>
        <w:drawing>
          <wp:inline distT="0" distB="0" distL="0" distR="0">
            <wp:extent cx="5939790" cy="7871460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87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FA4" w:rsidRPr="00940FA4" w:rsidRDefault="00940FA4" w:rsidP="00940FA4">
      <w:pPr>
        <w:spacing w:after="200" w:line="276" w:lineRule="auto"/>
        <w:rPr>
          <w:b/>
          <w:lang w:val="en-US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32805" cy="72421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24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lastRenderedPageBreak/>
        <w:drawing>
          <wp:inline distT="0" distB="0" distL="0" distR="0">
            <wp:extent cx="5939790" cy="5698490"/>
            <wp:effectExtent l="1905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69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lastRenderedPageBreak/>
        <w:drawing>
          <wp:inline distT="0" distB="0" distL="0" distR="0">
            <wp:extent cx="5932805" cy="576453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76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0FA4" w:rsidRPr="00940FA4" w:rsidSect="009C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E524C"/>
    <w:rsid w:val="00163497"/>
    <w:rsid w:val="001E524C"/>
    <w:rsid w:val="00572A81"/>
    <w:rsid w:val="005C3614"/>
    <w:rsid w:val="005E3409"/>
    <w:rsid w:val="006D573F"/>
    <w:rsid w:val="00940FA4"/>
    <w:rsid w:val="009C259D"/>
    <w:rsid w:val="00B36782"/>
    <w:rsid w:val="00B8089B"/>
    <w:rsid w:val="00BE05E9"/>
    <w:rsid w:val="00F0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14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E05E9"/>
    <w:pPr>
      <w:keepNext/>
      <w:spacing w:after="240"/>
      <w:outlineLvl w:val="0"/>
    </w:pPr>
    <w:rPr>
      <w:rFonts w:eastAsia="Times New Roman" w:cs="Arial"/>
      <w:b/>
      <w:bCs/>
      <w:kern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5E9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No Spacing"/>
    <w:uiPriority w:val="1"/>
    <w:qFormat/>
    <w:rsid w:val="00BE05E9"/>
    <w:pPr>
      <w:spacing w:after="240" w:line="360" w:lineRule="auto"/>
    </w:pPr>
    <w:rPr>
      <w:rFonts w:ascii="Times New Roman" w:hAnsi="Times New Roman"/>
      <w:b/>
      <w:sz w:val="28"/>
    </w:rPr>
  </w:style>
  <w:style w:type="table" w:styleId="a4">
    <w:name w:val="Table Grid"/>
    <w:basedOn w:val="a1"/>
    <w:uiPriority w:val="59"/>
    <w:rsid w:val="001E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3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2023-03-30T16:00:00Z</dcterms:created>
  <dcterms:modified xsi:type="dcterms:W3CDTF">2023-03-30T16:25:00Z</dcterms:modified>
</cp:coreProperties>
</file>