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E2" w:rsidRPr="002942E2" w:rsidRDefault="002942E2" w:rsidP="002942E2">
      <w:pPr>
        <w:pStyle w:val="a3"/>
        <w:jc w:val="center"/>
        <w:rPr>
          <w:b/>
          <w:sz w:val="28"/>
          <w:szCs w:val="28"/>
        </w:rPr>
      </w:pPr>
      <w:r w:rsidRPr="002942E2">
        <w:rPr>
          <w:b/>
          <w:sz w:val="28"/>
          <w:szCs w:val="28"/>
        </w:rPr>
        <w:t xml:space="preserve">Вопросы к </w:t>
      </w:r>
      <w:r w:rsidR="004F0801">
        <w:rPr>
          <w:b/>
          <w:sz w:val="28"/>
          <w:szCs w:val="28"/>
        </w:rPr>
        <w:t>экзамену</w:t>
      </w:r>
      <w:r w:rsidR="0022437D">
        <w:rPr>
          <w:b/>
          <w:sz w:val="28"/>
          <w:szCs w:val="28"/>
        </w:rPr>
        <w:t xml:space="preserve"> по дисциплине «Основы судебной экспертизы»</w:t>
      </w:r>
      <w:r w:rsidRPr="002942E2">
        <w:rPr>
          <w:b/>
          <w:sz w:val="28"/>
          <w:szCs w:val="28"/>
        </w:rPr>
        <w:t xml:space="preserve"> </w:t>
      </w:r>
    </w:p>
    <w:p w:rsidR="002942E2" w:rsidRPr="002942E2" w:rsidRDefault="002942E2" w:rsidP="002942E2">
      <w:pPr>
        <w:pStyle w:val="a3"/>
        <w:jc w:val="center"/>
        <w:rPr>
          <w:b/>
          <w:caps/>
          <w:sz w:val="28"/>
          <w:szCs w:val="28"/>
        </w:rPr>
      </w:pP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Понятие «специальные знания»: их правовая сущность и разграничение от знаний общедоступных, широко распространенных и связанных с исключительной компетенцией по разрешению дела.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Понятие, предмет и объект судебной экспертизы.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Задачи судебной экспертизы.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Соотношение метода, методологии и методики судебно-экспертного исследования.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Иные формы использования специальных знаний в судопроизводстве.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Классификация судебных экспертиз по организационно-процессуальным основаниям.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caps/>
          <w:sz w:val="28"/>
          <w:szCs w:val="28"/>
        </w:rPr>
      </w:pPr>
      <w:r w:rsidRPr="002942E2">
        <w:rPr>
          <w:sz w:val="28"/>
          <w:szCs w:val="28"/>
        </w:rPr>
        <w:t>Классификация  экспертиз по характеру отрасли экспертных знаний.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caps/>
          <w:sz w:val="28"/>
          <w:szCs w:val="28"/>
        </w:rPr>
      </w:pPr>
      <w:r w:rsidRPr="002942E2">
        <w:rPr>
          <w:sz w:val="28"/>
          <w:szCs w:val="28"/>
        </w:rPr>
        <w:t>Формирование новых видов экспертиз.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rPr>
          <w:sz w:val="28"/>
          <w:szCs w:val="28"/>
        </w:rPr>
      </w:pPr>
      <w:r w:rsidRPr="002942E2">
        <w:rPr>
          <w:sz w:val="28"/>
          <w:szCs w:val="28"/>
        </w:rPr>
        <w:t xml:space="preserve">Правовые основы судебно-экспертной деятельности.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Правовая сущность государственных экспертных учреждений России.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Судебно-экспертные учреждения Министерства юстиции РФ.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Экспертно-криминалистические подразделения органов внутренних дел РФ.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Судебно-экспертные учреждения Федерального агентства по здравоохранению и социальному развитию (</w:t>
      </w:r>
      <w:proofErr w:type="spellStart"/>
      <w:r w:rsidRPr="002942E2">
        <w:rPr>
          <w:sz w:val="28"/>
          <w:szCs w:val="28"/>
        </w:rPr>
        <w:t>Росздрав</w:t>
      </w:r>
      <w:proofErr w:type="spellEnd"/>
      <w:r w:rsidRPr="002942E2">
        <w:rPr>
          <w:sz w:val="28"/>
          <w:szCs w:val="28"/>
        </w:rPr>
        <w:t>).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Судебно-экспертные учреждения Министерства обороны РФ и судебно-экспертные учреждения Федеральной таможенной службы.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Негосударственные судебно-экспертные учреждения.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Руководитель экспертного учреждения как субъект  экспертной деятельности.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Процессуальный статус судебного эксперта.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Ответственность эксперта и гарантии независимости его профессиональной деятельности.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Основания назначения экспертизы в досудебном и судебном производстве по уголовному делу.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Назначение и производство судебной экспертизы в гражданском процессе.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Порядок назначения экспертизы при рассмотрении арбитражных споров. 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Особенности назначения экспертизы по делам об административных правонарушениях.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Процессуальное оформление назначения судебной экспертизы.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Права и обязанности участников при назначении  и производстве экспертизы.</w:t>
      </w:r>
    </w:p>
    <w:p w:rsidR="002942E2" w:rsidRPr="002942E2" w:rsidRDefault="002942E2" w:rsidP="002942E2">
      <w:pPr>
        <w:pStyle w:val="2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 w:line="240" w:lineRule="auto"/>
        <w:ind w:left="567" w:right="45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Процесс экспертного исследования и его стадии. </w:t>
      </w:r>
    </w:p>
    <w:p w:rsidR="002942E2" w:rsidRPr="002942E2" w:rsidRDefault="002942E2" w:rsidP="002942E2">
      <w:pPr>
        <w:pStyle w:val="2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 w:line="240" w:lineRule="auto"/>
        <w:ind w:left="567" w:right="45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Заключение эксперта: структура и содержание. </w:t>
      </w:r>
    </w:p>
    <w:p w:rsidR="002942E2" w:rsidRPr="002942E2" w:rsidRDefault="002942E2" w:rsidP="002942E2">
      <w:pPr>
        <w:pStyle w:val="2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 w:line="240" w:lineRule="auto"/>
        <w:ind w:left="567" w:right="45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Особенности экспертного заключения при производстве комплексных и комиссионных экспертиз.</w:t>
      </w:r>
    </w:p>
    <w:p w:rsidR="002942E2" w:rsidRPr="002942E2" w:rsidRDefault="002942E2" w:rsidP="002942E2">
      <w:pPr>
        <w:pStyle w:val="2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 w:line="240" w:lineRule="auto"/>
        <w:ind w:left="567" w:right="45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lastRenderedPageBreak/>
        <w:t>Критерии оценки заключения эксперта; его доказательственное значение по делу.</w:t>
      </w:r>
    </w:p>
    <w:p w:rsidR="002942E2" w:rsidRPr="002942E2" w:rsidRDefault="002942E2" w:rsidP="002942E2">
      <w:pPr>
        <w:pStyle w:val="3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/>
        <w:ind w:left="567" w:hanging="567"/>
        <w:rPr>
          <w:sz w:val="28"/>
          <w:szCs w:val="28"/>
        </w:rPr>
      </w:pPr>
      <w:r w:rsidRPr="002942E2">
        <w:rPr>
          <w:sz w:val="28"/>
          <w:szCs w:val="28"/>
        </w:rPr>
        <w:t>Цели и значение допроса эксперта.</w:t>
      </w:r>
    </w:p>
    <w:p w:rsidR="002942E2" w:rsidRPr="002942E2" w:rsidRDefault="002942E2" w:rsidP="002942E2">
      <w:pPr>
        <w:pStyle w:val="3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/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Основания проведения допроса в суде при рассмотрении арбитражных споров, гражданских дел и дел об административных правонарушениях.</w:t>
      </w:r>
    </w:p>
    <w:p w:rsidR="002942E2" w:rsidRPr="002942E2" w:rsidRDefault="002942E2" w:rsidP="002942E2">
      <w:pPr>
        <w:pStyle w:val="3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/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Особенности и порядок допроса при производстве по уголовному делу.</w:t>
      </w:r>
    </w:p>
    <w:p w:rsidR="002942E2" w:rsidRPr="002942E2" w:rsidRDefault="002942E2" w:rsidP="002942E2">
      <w:pPr>
        <w:pStyle w:val="3"/>
        <w:numPr>
          <w:ilvl w:val="0"/>
          <w:numId w:val="1"/>
        </w:numPr>
        <w:tabs>
          <w:tab w:val="clear" w:pos="720"/>
          <w:tab w:val="left" w:pos="142"/>
          <w:tab w:val="num" w:pos="567"/>
        </w:tabs>
        <w:spacing w:after="0"/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Взаимодействие следователя (судьи) и эксперта.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28"/>
        </w:rPr>
      </w:pPr>
      <w:r w:rsidRPr="002942E2">
        <w:rPr>
          <w:sz w:val="28"/>
          <w:szCs w:val="28"/>
        </w:rPr>
        <w:t>Понятие  криминалистической экспертизы.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28"/>
        </w:rPr>
      </w:pPr>
      <w:r w:rsidRPr="002942E2">
        <w:rPr>
          <w:sz w:val="28"/>
          <w:szCs w:val="28"/>
        </w:rPr>
        <w:t>Классификация криминалистических экспертиз.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sz w:val="28"/>
          <w:szCs w:val="28"/>
        </w:rPr>
      </w:pPr>
      <w:r w:rsidRPr="002942E2">
        <w:rPr>
          <w:sz w:val="28"/>
          <w:szCs w:val="28"/>
        </w:rPr>
        <w:t>Криминалистическая экспертиза микрообъектов.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Правовые основы производства судебно-медицинской экспертизы.</w:t>
      </w:r>
    </w:p>
    <w:p w:rsidR="002942E2" w:rsidRPr="002942E2" w:rsidRDefault="002942E2" w:rsidP="002942E2">
      <w:pPr>
        <w:numPr>
          <w:ilvl w:val="0"/>
          <w:numId w:val="1"/>
        </w:numPr>
        <w:tabs>
          <w:tab w:val="clear" w:pos="720"/>
          <w:tab w:val="num" w:pos="540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Судебно-медицинская идентификация личности и судебно-медицинская экспертиза живых лиц.</w:t>
      </w:r>
    </w:p>
    <w:p w:rsidR="002942E2" w:rsidRPr="002942E2" w:rsidRDefault="002942E2" w:rsidP="002942E2">
      <w:pPr>
        <w:numPr>
          <w:ilvl w:val="0"/>
          <w:numId w:val="1"/>
        </w:numPr>
        <w:tabs>
          <w:tab w:val="num" w:pos="540"/>
        </w:tabs>
        <w:ind w:left="567" w:hanging="567"/>
        <w:jc w:val="both"/>
        <w:rPr>
          <w:b/>
          <w:caps/>
          <w:sz w:val="28"/>
          <w:szCs w:val="28"/>
        </w:rPr>
      </w:pPr>
      <w:r w:rsidRPr="002942E2">
        <w:rPr>
          <w:sz w:val="28"/>
          <w:szCs w:val="28"/>
        </w:rPr>
        <w:t>Судебно-медицинская экспертиза трупа; вещественных доказательств; по материалам дела.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Класс судебно-психиатрической экспертизы.</w:t>
      </w:r>
    </w:p>
    <w:p w:rsidR="002942E2" w:rsidRPr="002942E2" w:rsidRDefault="002942E2" w:rsidP="002942E2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Класс судебно-психологической экспертизы: сущность, значение, предмет и виды; организация проведения.</w:t>
      </w:r>
    </w:p>
    <w:p w:rsidR="002942E2" w:rsidRPr="002942E2" w:rsidRDefault="002942E2" w:rsidP="002942E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Класс и роды судебной инженерно-технической экспертизы. </w:t>
      </w:r>
    </w:p>
    <w:p w:rsidR="002942E2" w:rsidRPr="002942E2" w:rsidRDefault="002942E2" w:rsidP="002942E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Класс и роды судебных почвоведческих экспертиз. </w:t>
      </w:r>
    </w:p>
    <w:p w:rsidR="002942E2" w:rsidRPr="002942E2" w:rsidRDefault="002942E2" w:rsidP="002942E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Класс и роды судебно-экологической и судебно-биологической экспертизы.</w:t>
      </w:r>
    </w:p>
    <w:p w:rsidR="002942E2" w:rsidRPr="002942E2" w:rsidRDefault="002942E2" w:rsidP="002942E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>Класс и роды судебной экспертизы пищевых продуктов.</w:t>
      </w:r>
    </w:p>
    <w:p w:rsidR="002942E2" w:rsidRDefault="002942E2" w:rsidP="002942E2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sz w:val="28"/>
          <w:szCs w:val="28"/>
        </w:rPr>
      </w:pPr>
      <w:r w:rsidRPr="002942E2">
        <w:rPr>
          <w:sz w:val="28"/>
          <w:szCs w:val="28"/>
        </w:rPr>
        <w:t xml:space="preserve">Класс и роды судебно-экономической экспертизы. </w:t>
      </w:r>
    </w:p>
    <w:p w:rsidR="008C6A51" w:rsidRDefault="008C6A51" w:rsidP="008C6A51">
      <w:pPr>
        <w:jc w:val="both"/>
        <w:rPr>
          <w:sz w:val="28"/>
          <w:szCs w:val="28"/>
        </w:rPr>
      </w:pPr>
    </w:p>
    <w:p w:rsidR="008C6A51" w:rsidRPr="008C6A51" w:rsidRDefault="008C6A51" w:rsidP="008C6A51">
      <w:pPr>
        <w:ind w:firstLine="72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Для выполнения задания студенту необходимо выбрать два вопроса из представленного списка и подготовить письменный ответ в виде контр</w:t>
      </w:r>
      <w:bookmarkStart w:id="0" w:name="_GoBack"/>
      <w:bookmarkEnd w:id="0"/>
      <w:r w:rsidRPr="008C6A51">
        <w:rPr>
          <w:sz w:val="28"/>
          <w:szCs w:val="28"/>
        </w:rPr>
        <w:t>ольной работы.</w:t>
      </w:r>
    </w:p>
    <w:p w:rsidR="008C6A51" w:rsidRPr="008C6A51" w:rsidRDefault="008C6A51" w:rsidP="008C6A51">
      <w:pPr>
        <w:ind w:firstLine="720"/>
        <w:jc w:val="both"/>
        <w:rPr>
          <w:sz w:val="28"/>
          <w:szCs w:val="28"/>
        </w:rPr>
      </w:pPr>
      <w:proofErr w:type="gramStart"/>
      <w:r w:rsidRPr="008C6A51">
        <w:rPr>
          <w:sz w:val="28"/>
          <w:szCs w:val="28"/>
        </w:rPr>
        <w:t>Выполненная</w:t>
      </w:r>
      <w:proofErr w:type="gramEnd"/>
      <w:r w:rsidRPr="008C6A51">
        <w:rPr>
          <w:sz w:val="28"/>
          <w:szCs w:val="28"/>
        </w:rPr>
        <w:t xml:space="preserve"> работы прикрепляется в личном кабинете файлом в формате </w:t>
      </w:r>
      <w:proofErr w:type="spellStart"/>
      <w:r w:rsidRPr="008C6A51">
        <w:rPr>
          <w:sz w:val="28"/>
          <w:szCs w:val="28"/>
        </w:rPr>
        <w:t>Word</w:t>
      </w:r>
      <w:proofErr w:type="spellEnd"/>
      <w:r w:rsidRPr="008C6A51">
        <w:rPr>
          <w:sz w:val="28"/>
          <w:szCs w:val="28"/>
        </w:rPr>
        <w:t>.</w:t>
      </w:r>
    </w:p>
    <w:p w:rsidR="008C6A51" w:rsidRPr="008C6A51" w:rsidRDefault="008C6A51" w:rsidP="008C6A51">
      <w:pPr>
        <w:ind w:firstLine="72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Структура работы: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Титульный лист.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Оглавление.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Ответ на первый выбранный вопрос.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Ответ на второй выбранный вопрос.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Список использованных источников и литературы.</w:t>
      </w:r>
    </w:p>
    <w:p w:rsidR="008C6A51" w:rsidRPr="008C6A51" w:rsidRDefault="008C6A51" w:rsidP="008C6A51">
      <w:pPr>
        <w:ind w:firstLine="72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Требования к оформлению работы: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 xml:space="preserve">объём работы не менее 20 страниц;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 xml:space="preserve">сноски на литературу – ОБЯЗАТЕЛЬНО (постраничные);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  <w:lang w:val="en-US"/>
        </w:rPr>
      </w:pPr>
      <w:r w:rsidRPr="008C6A51">
        <w:rPr>
          <w:sz w:val="28"/>
          <w:szCs w:val="28"/>
        </w:rPr>
        <w:t>вид</w:t>
      </w:r>
      <w:r w:rsidRPr="008C6A51">
        <w:rPr>
          <w:sz w:val="28"/>
          <w:szCs w:val="28"/>
          <w:lang w:val="en-US"/>
        </w:rPr>
        <w:t xml:space="preserve"> </w:t>
      </w:r>
      <w:r w:rsidRPr="008C6A51">
        <w:rPr>
          <w:sz w:val="28"/>
          <w:szCs w:val="28"/>
        </w:rPr>
        <w:t>шрифта</w:t>
      </w:r>
      <w:r w:rsidRPr="008C6A51">
        <w:rPr>
          <w:sz w:val="28"/>
          <w:szCs w:val="28"/>
          <w:lang w:val="en-US"/>
        </w:rPr>
        <w:t xml:space="preserve"> «Times New Roman»;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 xml:space="preserve">размер шрифта 14;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 xml:space="preserve">межстрочный интервал 1,5;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 xml:space="preserve">абзацный отступ 1,25; </w:t>
      </w:r>
    </w:p>
    <w:p w:rsidR="008C6A51" w:rsidRPr="008C6A51" w:rsidRDefault="008C6A51" w:rsidP="008C6A51">
      <w:pPr>
        <w:pStyle w:val="a5"/>
        <w:widowControl w:val="0"/>
        <w:numPr>
          <w:ilvl w:val="0"/>
          <w:numId w:val="3"/>
        </w:numPr>
        <w:contextualSpacing w:val="0"/>
        <w:jc w:val="both"/>
        <w:rPr>
          <w:sz w:val="28"/>
          <w:szCs w:val="28"/>
        </w:rPr>
      </w:pPr>
      <w:r w:rsidRPr="008C6A51">
        <w:rPr>
          <w:sz w:val="28"/>
          <w:szCs w:val="28"/>
        </w:rPr>
        <w:t>выравнивание текста по ширине.</w:t>
      </w:r>
    </w:p>
    <w:p w:rsidR="008C6A51" w:rsidRPr="002942E2" w:rsidRDefault="008C6A51" w:rsidP="008C6A51">
      <w:pPr>
        <w:jc w:val="both"/>
        <w:rPr>
          <w:sz w:val="28"/>
          <w:szCs w:val="28"/>
        </w:rPr>
      </w:pPr>
    </w:p>
    <w:sectPr w:rsidR="008C6A51" w:rsidRPr="002942E2" w:rsidSect="001A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F87"/>
    <w:multiLevelType w:val="hybridMultilevel"/>
    <w:tmpl w:val="D3BA1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248F2"/>
    <w:multiLevelType w:val="hybridMultilevel"/>
    <w:tmpl w:val="7DF6D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8079AE"/>
    <w:multiLevelType w:val="hybridMultilevel"/>
    <w:tmpl w:val="B150E692"/>
    <w:lvl w:ilvl="0" w:tplc="776C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E2"/>
    <w:rsid w:val="001A3A0B"/>
    <w:rsid w:val="0022437D"/>
    <w:rsid w:val="002942E2"/>
    <w:rsid w:val="00487DB1"/>
    <w:rsid w:val="004F0801"/>
    <w:rsid w:val="008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42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942E2"/>
    <w:pPr>
      <w:spacing w:after="120"/>
    </w:pPr>
  </w:style>
  <w:style w:type="character" w:customStyle="1" w:styleId="a4">
    <w:name w:val="Основной текст Знак"/>
    <w:basedOn w:val="a0"/>
    <w:link w:val="a3"/>
    <w:rsid w:val="0029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942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29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42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2942E2"/>
    <w:pPr>
      <w:spacing w:after="120"/>
    </w:pPr>
  </w:style>
  <w:style w:type="character" w:customStyle="1" w:styleId="a4">
    <w:name w:val="Основной текст Знак"/>
    <w:basedOn w:val="a0"/>
    <w:link w:val="a3"/>
    <w:rsid w:val="0029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942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4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29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- Юрий</dc:creator>
  <cp:keywords/>
  <dc:description/>
  <cp:lastModifiedBy>Z</cp:lastModifiedBy>
  <cp:revision>4</cp:revision>
  <dcterms:created xsi:type="dcterms:W3CDTF">2021-10-08T04:44:00Z</dcterms:created>
  <dcterms:modified xsi:type="dcterms:W3CDTF">2023-03-25T03:56:00Z</dcterms:modified>
</cp:coreProperties>
</file>