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A90" w14:textId="77777777" w:rsidR="00F346F5" w:rsidRPr="00C02E82" w:rsidRDefault="00F346F5" w:rsidP="00F346F5">
      <w:pPr>
        <w:pBdr>
          <w:bottom w:val="thinThickSmallGap" w:sz="24" w:space="1" w:color="auto"/>
        </w:pBdr>
        <w:spacing w:line="240" w:lineRule="auto"/>
        <w:ind w:left="284" w:hanging="993"/>
        <w:jc w:val="center"/>
        <w:rPr>
          <w:b/>
          <w:sz w:val="24"/>
          <w:szCs w:val="24"/>
        </w:rPr>
      </w:pPr>
      <w:r w:rsidRPr="00C02E82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1F9B12B" w14:textId="77777777" w:rsidR="00F346F5" w:rsidRPr="00C02E82" w:rsidRDefault="00F346F5" w:rsidP="00F346F5">
      <w:pPr>
        <w:pBdr>
          <w:bottom w:val="thinThickSmallGap" w:sz="24" w:space="1" w:color="auto"/>
        </w:pBdr>
        <w:spacing w:line="240" w:lineRule="auto"/>
        <w:ind w:left="284" w:hanging="993"/>
        <w:jc w:val="center"/>
        <w:rPr>
          <w:b/>
          <w:sz w:val="24"/>
          <w:szCs w:val="24"/>
        </w:rPr>
      </w:pPr>
      <w:r w:rsidRPr="00C02E82">
        <w:rPr>
          <w:b/>
          <w:sz w:val="24"/>
          <w:szCs w:val="24"/>
        </w:rPr>
        <w:t>РОССИЙСКАЯ АКАДЕМИЯ НАРОДНОГО ХОЗЯЙСТВА И ГОСУДАРСТВЕННОЙ</w:t>
      </w:r>
    </w:p>
    <w:p w14:paraId="230E83B5" w14:textId="77777777" w:rsidR="00F346F5" w:rsidRPr="00C02E82" w:rsidRDefault="00F346F5" w:rsidP="00F346F5">
      <w:pPr>
        <w:pBdr>
          <w:bottom w:val="thinThickSmallGap" w:sz="24" w:space="1" w:color="auto"/>
        </w:pBdr>
        <w:spacing w:line="240" w:lineRule="auto"/>
        <w:ind w:left="284" w:hanging="993"/>
        <w:jc w:val="center"/>
        <w:rPr>
          <w:b/>
          <w:sz w:val="24"/>
          <w:szCs w:val="24"/>
        </w:rPr>
      </w:pPr>
      <w:r w:rsidRPr="00C02E82">
        <w:rPr>
          <w:b/>
          <w:sz w:val="24"/>
          <w:szCs w:val="24"/>
        </w:rPr>
        <w:t>СЛУЖБЫ</w:t>
      </w:r>
    </w:p>
    <w:p w14:paraId="7EDF7C5C" w14:textId="77777777" w:rsidR="00F346F5" w:rsidRPr="00C02E82" w:rsidRDefault="00F346F5" w:rsidP="00F346F5">
      <w:pPr>
        <w:pBdr>
          <w:bottom w:val="thinThickSmallGap" w:sz="24" w:space="1" w:color="auto"/>
        </w:pBdr>
        <w:spacing w:line="240" w:lineRule="auto"/>
        <w:ind w:left="284" w:hanging="993"/>
        <w:jc w:val="center"/>
        <w:rPr>
          <w:b/>
          <w:sz w:val="24"/>
          <w:szCs w:val="24"/>
        </w:rPr>
      </w:pPr>
      <w:r w:rsidRPr="00C02E82">
        <w:rPr>
          <w:b/>
          <w:sz w:val="24"/>
          <w:szCs w:val="24"/>
        </w:rPr>
        <w:t>ПРИ ПРИЗИДЕНТЕ РОССИЙСКОЙ ФЕДЕРАЦИИ</w:t>
      </w:r>
    </w:p>
    <w:p w14:paraId="5EB2CBCF" w14:textId="77777777" w:rsidR="00F346F5" w:rsidRPr="00C02E82" w:rsidRDefault="00F346F5" w:rsidP="00F346F5">
      <w:pPr>
        <w:ind w:left="284" w:hanging="993"/>
        <w:jc w:val="center"/>
        <w:rPr>
          <w:sz w:val="24"/>
          <w:szCs w:val="24"/>
        </w:rPr>
      </w:pPr>
      <w:r w:rsidRPr="00C02E82">
        <w:rPr>
          <w:sz w:val="24"/>
          <w:szCs w:val="24"/>
        </w:rPr>
        <w:t>Сибирский институт управления – филиал РАНХиГС</w:t>
      </w:r>
    </w:p>
    <w:p w14:paraId="0C419DBE" w14:textId="77777777" w:rsidR="00F346F5" w:rsidRPr="00C02E82" w:rsidRDefault="00F346F5" w:rsidP="00F346F5">
      <w:pPr>
        <w:ind w:left="284" w:hanging="993"/>
        <w:jc w:val="center"/>
        <w:rPr>
          <w:sz w:val="24"/>
          <w:szCs w:val="24"/>
        </w:rPr>
      </w:pPr>
      <w:r w:rsidRPr="00C02E82">
        <w:rPr>
          <w:sz w:val="24"/>
          <w:szCs w:val="24"/>
        </w:rPr>
        <w:t>Образовательная программа</w:t>
      </w:r>
    </w:p>
    <w:p w14:paraId="4C4D37D2" w14:textId="77777777" w:rsidR="00F346F5" w:rsidRPr="00C02E82" w:rsidRDefault="00F346F5" w:rsidP="00F346F5">
      <w:pPr>
        <w:spacing w:line="240" w:lineRule="auto"/>
        <w:ind w:left="284" w:hanging="993"/>
        <w:jc w:val="center"/>
        <w:rPr>
          <w:sz w:val="24"/>
          <w:szCs w:val="24"/>
        </w:rPr>
      </w:pPr>
      <w:r w:rsidRPr="00C02E82">
        <w:rPr>
          <w:sz w:val="24"/>
          <w:szCs w:val="24"/>
        </w:rPr>
        <w:t>Направление подготовки 38.03.0</w:t>
      </w:r>
      <w:r w:rsidRPr="00FE7F61">
        <w:rPr>
          <w:sz w:val="24"/>
          <w:szCs w:val="24"/>
        </w:rPr>
        <w:t>1</w:t>
      </w:r>
      <w:r w:rsidRPr="00C02E82">
        <w:rPr>
          <w:sz w:val="24"/>
          <w:szCs w:val="24"/>
        </w:rPr>
        <w:t xml:space="preserve"> Экономика</w:t>
      </w:r>
    </w:p>
    <w:p w14:paraId="49635D2A" w14:textId="77777777" w:rsidR="00F346F5" w:rsidRPr="00C02E82" w:rsidRDefault="00F346F5" w:rsidP="00F346F5">
      <w:pPr>
        <w:spacing w:line="240" w:lineRule="auto"/>
        <w:ind w:left="284" w:hanging="993"/>
        <w:jc w:val="center"/>
        <w:rPr>
          <w:sz w:val="24"/>
          <w:szCs w:val="24"/>
        </w:rPr>
      </w:pPr>
    </w:p>
    <w:p w14:paraId="03F9E0FD" w14:textId="77777777" w:rsidR="00F346F5" w:rsidRPr="00A67031" w:rsidRDefault="00F346F5" w:rsidP="00F346F5">
      <w:pPr>
        <w:spacing w:line="240" w:lineRule="auto"/>
        <w:ind w:left="284" w:hanging="993"/>
        <w:jc w:val="center"/>
        <w:rPr>
          <w:color w:val="000000" w:themeColor="text1"/>
          <w:sz w:val="24"/>
          <w:szCs w:val="24"/>
        </w:rPr>
      </w:pPr>
      <w:r w:rsidRPr="00C02E82">
        <w:rPr>
          <w:sz w:val="24"/>
          <w:szCs w:val="24"/>
        </w:rPr>
        <w:t xml:space="preserve">Направленность (профиль) </w:t>
      </w:r>
      <w:r w:rsidRPr="00A67031">
        <w:rPr>
          <w:color w:val="000000" w:themeColor="text1"/>
          <w:sz w:val="24"/>
          <w:szCs w:val="24"/>
        </w:rPr>
        <w:t>Финансы и кредит/Государственные и муниципальные финансы</w:t>
      </w:r>
    </w:p>
    <w:p w14:paraId="2438FD63" w14:textId="77777777" w:rsidR="00F346F5" w:rsidRPr="00A67031" w:rsidRDefault="00F346F5" w:rsidP="00F346F5">
      <w:pPr>
        <w:ind w:left="284" w:hanging="993"/>
        <w:jc w:val="center"/>
        <w:rPr>
          <w:b/>
          <w:color w:val="000000" w:themeColor="text1"/>
          <w:sz w:val="24"/>
          <w:szCs w:val="24"/>
        </w:rPr>
      </w:pPr>
    </w:p>
    <w:p w14:paraId="395D90A3" w14:textId="77777777" w:rsidR="00F346F5" w:rsidRDefault="00F346F5" w:rsidP="00F346F5">
      <w:pPr>
        <w:ind w:left="284" w:hanging="993"/>
        <w:jc w:val="center"/>
        <w:rPr>
          <w:b/>
        </w:rPr>
      </w:pPr>
    </w:p>
    <w:p w14:paraId="5582969A" w14:textId="77777777" w:rsidR="00F346F5" w:rsidRDefault="00F346F5" w:rsidP="00F346F5">
      <w:pPr>
        <w:ind w:left="284" w:hanging="993"/>
        <w:jc w:val="center"/>
        <w:rPr>
          <w:b/>
        </w:rPr>
      </w:pPr>
    </w:p>
    <w:p w14:paraId="0DD8868A" w14:textId="77777777" w:rsidR="00F346F5" w:rsidRPr="00A60A90" w:rsidRDefault="00F346F5" w:rsidP="00F346F5">
      <w:pPr>
        <w:ind w:left="284" w:hanging="993"/>
        <w:jc w:val="center"/>
        <w:rPr>
          <w:b/>
        </w:rPr>
      </w:pPr>
    </w:p>
    <w:p w14:paraId="46AE0186" w14:textId="77777777" w:rsidR="00F346F5" w:rsidRPr="00D227C4" w:rsidRDefault="00F346F5" w:rsidP="00F346F5">
      <w:pPr>
        <w:ind w:left="284" w:hanging="993"/>
        <w:jc w:val="center"/>
        <w:rPr>
          <w:b/>
          <w:color w:val="000000" w:themeColor="text1"/>
        </w:rPr>
      </w:pPr>
      <w:r w:rsidRPr="00D227C4">
        <w:rPr>
          <w:b/>
          <w:bCs/>
          <w:color w:val="000000" w:themeColor="text1"/>
          <w:lang w:eastAsia="ar-SA"/>
        </w:rPr>
        <w:t>ПИСЬМЕННОЕ КОНТРОЛЬНОЕ ЗАДАНИЕ</w:t>
      </w:r>
    </w:p>
    <w:p w14:paraId="1C7D3DA9" w14:textId="77777777" w:rsidR="00F346F5" w:rsidRPr="00D227C4" w:rsidRDefault="00F346F5" w:rsidP="00F346F5">
      <w:pPr>
        <w:ind w:left="284" w:hanging="993"/>
        <w:jc w:val="center"/>
        <w:rPr>
          <w:b/>
          <w:color w:val="000000" w:themeColor="text1"/>
        </w:rPr>
      </w:pPr>
      <w:r w:rsidRPr="00D227C4">
        <w:rPr>
          <w:b/>
          <w:color w:val="000000" w:themeColor="text1"/>
        </w:rPr>
        <w:t>по дисциплине Регулирование деятельности малого и среднего предпринимательства: финансовый аспект</w:t>
      </w:r>
    </w:p>
    <w:p w14:paraId="0BB336EB" w14:textId="77777777" w:rsidR="00F346F5" w:rsidRPr="00F27A05" w:rsidRDefault="00F346F5" w:rsidP="00F346F5">
      <w:pPr>
        <w:ind w:left="284" w:hanging="993"/>
        <w:jc w:val="center"/>
        <w:rPr>
          <w:szCs w:val="28"/>
        </w:rPr>
      </w:pPr>
    </w:p>
    <w:p w14:paraId="754E8386" w14:textId="77777777" w:rsidR="00F346F5" w:rsidRDefault="00F346F5" w:rsidP="00F346F5">
      <w:pPr>
        <w:spacing w:after="200" w:line="276" w:lineRule="auto"/>
        <w:ind w:left="284" w:hanging="993"/>
      </w:pPr>
    </w:p>
    <w:p w14:paraId="6018A7AF" w14:textId="77777777" w:rsidR="00F346F5" w:rsidRPr="00C02E82" w:rsidRDefault="00F346F5" w:rsidP="00F346F5">
      <w:pPr>
        <w:ind w:left="284" w:hanging="993"/>
        <w:jc w:val="center"/>
        <w:rPr>
          <w:sz w:val="24"/>
          <w:szCs w:val="24"/>
        </w:rPr>
      </w:pPr>
    </w:p>
    <w:tbl>
      <w:tblPr>
        <w:tblStyle w:val="a8"/>
        <w:tblW w:w="1077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</w:tblGrid>
      <w:tr w:rsidR="00F346F5" w:rsidRPr="00C02E82" w14:paraId="429E5F51" w14:textId="77777777" w:rsidTr="000E6A1E">
        <w:tc>
          <w:tcPr>
            <w:tcW w:w="5103" w:type="dxa"/>
          </w:tcPr>
          <w:p w14:paraId="2CE5D618" w14:textId="77777777" w:rsidR="00F346F5" w:rsidRPr="00C02E82" w:rsidRDefault="00F346F5" w:rsidP="00F346F5">
            <w:pPr>
              <w:spacing w:line="240" w:lineRule="auto"/>
              <w:ind w:left="284" w:hanging="993"/>
              <w:jc w:val="center"/>
              <w:rPr>
                <w:sz w:val="24"/>
                <w:szCs w:val="24"/>
              </w:rPr>
            </w:pPr>
            <w:r w:rsidRPr="00C02E82">
              <w:rPr>
                <w:sz w:val="24"/>
                <w:szCs w:val="24"/>
              </w:rPr>
              <w:t xml:space="preserve"> </w:t>
            </w:r>
          </w:p>
          <w:p w14:paraId="08531151" w14:textId="77777777" w:rsidR="00F346F5" w:rsidRPr="00C02E82" w:rsidRDefault="00F346F5" w:rsidP="00F346F5">
            <w:pPr>
              <w:spacing w:line="240" w:lineRule="auto"/>
              <w:ind w:left="284" w:hanging="993"/>
              <w:jc w:val="center"/>
              <w:rPr>
                <w:sz w:val="24"/>
                <w:szCs w:val="24"/>
              </w:rPr>
            </w:pPr>
          </w:p>
          <w:p w14:paraId="75CC058C" w14:textId="77777777" w:rsidR="00F346F5" w:rsidRPr="00C02E82" w:rsidRDefault="00F346F5" w:rsidP="00F346F5">
            <w:pPr>
              <w:spacing w:line="240" w:lineRule="auto"/>
              <w:ind w:left="284" w:hanging="993"/>
              <w:jc w:val="center"/>
              <w:rPr>
                <w:sz w:val="24"/>
                <w:szCs w:val="24"/>
              </w:rPr>
            </w:pPr>
          </w:p>
          <w:p w14:paraId="2EFDC3BF" w14:textId="77777777" w:rsidR="00F346F5" w:rsidRPr="00C02E82" w:rsidRDefault="00F346F5" w:rsidP="00F346F5">
            <w:pPr>
              <w:spacing w:line="240" w:lineRule="auto"/>
              <w:ind w:left="284" w:hanging="993"/>
              <w:rPr>
                <w:sz w:val="24"/>
                <w:szCs w:val="24"/>
                <w:u w:val="single"/>
              </w:rPr>
            </w:pPr>
          </w:p>
        </w:tc>
        <w:tc>
          <w:tcPr>
            <w:tcW w:w="5670" w:type="dxa"/>
          </w:tcPr>
          <w:p w14:paraId="584B41D7" w14:textId="03E97EEE" w:rsidR="00F346F5" w:rsidRPr="00A67031" w:rsidRDefault="00F346F5" w:rsidP="00F346F5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Выполн</w:t>
            </w:r>
            <w:r w:rsidRPr="00A67031">
              <w:rPr>
                <w:b/>
                <w:color w:val="000000" w:themeColor="text1"/>
                <w:sz w:val="24"/>
                <w:szCs w:val="24"/>
              </w:rPr>
              <w:t>ил:</w:t>
            </w:r>
          </w:p>
          <w:p w14:paraId="5A29AB92" w14:textId="552AD084" w:rsidR="00F346F5" w:rsidRPr="00A67031" w:rsidRDefault="00F346F5" w:rsidP="00F346F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</w:t>
            </w:r>
            <w:r w:rsidRPr="00A67031">
              <w:rPr>
                <w:color w:val="000000" w:themeColor="text1"/>
                <w:sz w:val="24"/>
                <w:szCs w:val="24"/>
              </w:rPr>
              <w:t xml:space="preserve">йся </w:t>
            </w:r>
            <w:r>
              <w:rPr>
                <w:color w:val="000000" w:themeColor="text1"/>
                <w:sz w:val="24"/>
                <w:szCs w:val="24"/>
              </w:rPr>
              <w:t>19415</w:t>
            </w:r>
            <w:r w:rsidRPr="00A67031">
              <w:rPr>
                <w:color w:val="000000" w:themeColor="text1"/>
                <w:sz w:val="24"/>
                <w:szCs w:val="24"/>
              </w:rPr>
              <w:t xml:space="preserve"> группы</w:t>
            </w:r>
          </w:p>
          <w:p w14:paraId="44E4F5CD" w14:textId="68764125" w:rsidR="00F346F5" w:rsidRDefault="00F346F5" w:rsidP="00F346F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заочно</w:t>
            </w:r>
            <w:r w:rsidRPr="00A67031">
              <w:rPr>
                <w:color w:val="000000" w:themeColor="text1"/>
                <w:sz w:val="24"/>
                <w:szCs w:val="24"/>
              </w:rPr>
              <w:t>й формы обучения</w:t>
            </w:r>
          </w:p>
          <w:p w14:paraId="72FBA09F" w14:textId="77777777" w:rsidR="00F346F5" w:rsidRDefault="00F346F5" w:rsidP="00F346F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Кочегарова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Валерия Вадимовна</w:t>
            </w:r>
          </w:p>
          <w:p w14:paraId="6EBA1D31" w14:textId="77777777" w:rsidR="00F346F5" w:rsidRDefault="00F346F5" w:rsidP="00F346F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Подтверж</w:t>
            </w:r>
            <w:r w:rsidRPr="00A67031">
              <w:rPr>
                <w:color w:val="000000" w:themeColor="text1"/>
                <w:sz w:val="24"/>
                <w:szCs w:val="24"/>
              </w:rPr>
              <w:t xml:space="preserve">даю, что работа выполнена </w:t>
            </w:r>
          </w:p>
          <w:p w14:paraId="54C6D832" w14:textId="77777777" w:rsidR="00F346F5" w:rsidRDefault="00F346F5" w:rsidP="00F346F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67031">
              <w:rPr>
                <w:color w:val="000000" w:themeColor="text1"/>
                <w:sz w:val="24"/>
                <w:szCs w:val="24"/>
              </w:rPr>
              <w:t>мною самостоятельн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</w:p>
          <w:p w14:paraId="12EEE042" w14:textId="33E7F7F8" w:rsidR="00F346F5" w:rsidRPr="00F346F5" w:rsidRDefault="00F346F5" w:rsidP="00F346F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Провери</w:t>
            </w:r>
            <w:r w:rsidRPr="00A67031">
              <w:rPr>
                <w:b/>
                <w:color w:val="000000" w:themeColor="text1"/>
                <w:sz w:val="24"/>
                <w:szCs w:val="24"/>
              </w:rPr>
              <w:t>л:</w:t>
            </w:r>
          </w:p>
          <w:p w14:paraId="711DF6ED" w14:textId="242D1110" w:rsidR="00F346F5" w:rsidRPr="00A67031" w:rsidRDefault="00F346F5" w:rsidP="00F346F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67031">
              <w:rPr>
                <w:color w:val="000000" w:themeColor="text1"/>
                <w:sz w:val="24"/>
                <w:szCs w:val="24"/>
              </w:rPr>
              <w:t>Данилова Вероника Юрьевна</w:t>
            </w:r>
          </w:p>
          <w:p w14:paraId="2596CFB8" w14:textId="77777777" w:rsidR="00F346F5" w:rsidRPr="000B6F92" w:rsidRDefault="00F346F5" w:rsidP="00F346F5">
            <w:pPr>
              <w:spacing w:line="240" w:lineRule="auto"/>
              <w:ind w:left="284" w:hanging="993"/>
              <w:rPr>
                <w:sz w:val="24"/>
                <w:szCs w:val="24"/>
              </w:rPr>
            </w:pPr>
          </w:p>
          <w:p w14:paraId="25AB95CB" w14:textId="77777777" w:rsidR="00F346F5" w:rsidRPr="00C02E82" w:rsidRDefault="00F346F5" w:rsidP="00F346F5">
            <w:pPr>
              <w:spacing w:line="240" w:lineRule="auto"/>
              <w:ind w:left="284" w:hanging="993"/>
              <w:rPr>
                <w:sz w:val="24"/>
                <w:szCs w:val="24"/>
              </w:rPr>
            </w:pPr>
          </w:p>
        </w:tc>
      </w:tr>
      <w:tr w:rsidR="00F346F5" w:rsidRPr="00C02E82" w14:paraId="392208DD" w14:textId="77777777" w:rsidTr="000E6A1E">
        <w:tc>
          <w:tcPr>
            <w:tcW w:w="5103" w:type="dxa"/>
          </w:tcPr>
          <w:p w14:paraId="50BB86B5" w14:textId="77777777" w:rsidR="00F346F5" w:rsidRPr="00C02E82" w:rsidRDefault="00F346F5" w:rsidP="000E6A1E">
            <w:pPr>
              <w:spacing w:line="240" w:lineRule="auto"/>
              <w:ind w:left="127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52BB741" w14:textId="77777777" w:rsidR="00F346F5" w:rsidRPr="00C02E82" w:rsidRDefault="00F346F5" w:rsidP="000E6A1E">
            <w:pPr>
              <w:spacing w:line="240" w:lineRule="auto"/>
              <w:ind w:left="1276"/>
              <w:rPr>
                <w:b/>
                <w:sz w:val="24"/>
                <w:szCs w:val="24"/>
              </w:rPr>
            </w:pPr>
          </w:p>
        </w:tc>
      </w:tr>
    </w:tbl>
    <w:p w14:paraId="12A65C2C" w14:textId="0DE240E3" w:rsidR="00F346F5" w:rsidRPr="00AD7B2A" w:rsidRDefault="00F346F5" w:rsidP="00F346F5">
      <w:pPr>
        <w:jc w:val="center"/>
      </w:pPr>
      <w:r>
        <w:t>г. Новосибирск, 2023</w:t>
      </w:r>
    </w:p>
    <w:p w14:paraId="6014B0CF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14:paraId="03F8BC4A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01B5835F" w14:textId="0FE3AF6E" w:rsidR="00F346F5" w:rsidRPr="00F346F5" w:rsidRDefault="00F346F5" w:rsidP="00F346F5">
      <w:pPr>
        <w:pStyle w:val="Default"/>
        <w:numPr>
          <w:ilvl w:val="0"/>
          <w:numId w:val="3"/>
        </w:numPr>
        <w:spacing w:line="360" w:lineRule="auto"/>
        <w:ind w:left="284" w:hanging="284"/>
        <w:rPr>
          <w:color w:val="000000" w:themeColor="text1"/>
          <w:sz w:val="28"/>
          <w:szCs w:val="28"/>
        </w:rPr>
      </w:pPr>
      <w:r w:rsidRPr="00F346F5">
        <w:rPr>
          <w:color w:val="000000" w:themeColor="text1"/>
          <w:sz w:val="28"/>
          <w:szCs w:val="28"/>
        </w:rPr>
        <w:t>Раздел 1</w:t>
      </w:r>
      <w:r>
        <w:rPr>
          <w:color w:val="000000" w:themeColor="text1"/>
          <w:sz w:val="28"/>
          <w:szCs w:val="28"/>
        </w:rPr>
        <w:t>……………………………………………………………………3 стр.</w:t>
      </w:r>
    </w:p>
    <w:p w14:paraId="4959C249" w14:textId="59AD04B1" w:rsidR="00F346F5" w:rsidRPr="00F346F5" w:rsidRDefault="00F346F5" w:rsidP="00F346F5">
      <w:pPr>
        <w:pStyle w:val="Default"/>
        <w:numPr>
          <w:ilvl w:val="0"/>
          <w:numId w:val="3"/>
        </w:numPr>
        <w:spacing w:line="360" w:lineRule="auto"/>
        <w:ind w:left="284" w:hanging="284"/>
        <w:rPr>
          <w:color w:val="000000" w:themeColor="text1"/>
          <w:sz w:val="28"/>
          <w:szCs w:val="28"/>
        </w:rPr>
      </w:pPr>
      <w:r w:rsidRPr="00F346F5">
        <w:rPr>
          <w:color w:val="000000" w:themeColor="text1"/>
          <w:sz w:val="28"/>
          <w:szCs w:val="28"/>
        </w:rPr>
        <w:t>Раздел 2</w:t>
      </w:r>
      <w:r>
        <w:rPr>
          <w:color w:val="000000" w:themeColor="text1"/>
          <w:sz w:val="28"/>
          <w:szCs w:val="28"/>
        </w:rPr>
        <w:t>…………………………………………………………………….7 стр.</w:t>
      </w:r>
    </w:p>
    <w:p w14:paraId="47DF70FF" w14:textId="524F0D22" w:rsidR="00F346F5" w:rsidRPr="00F346F5" w:rsidRDefault="00F346F5" w:rsidP="00F346F5">
      <w:pPr>
        <w:pStyle w:val="Default"/>
        <w:numPr>
          <w:ilvl w:val="0"/>
          <w:numId w:val="3"/>
        </w:numPr>
        <w:spacing w:line="360" w:lineRule="auto"/>
        <w:ind w:left="284" w:hanging="284"/>
        <w:rPr>
          <w:color w:val="000000" w:themeColor="text1"/>
          <w:sz w:val="28"/>
          <w:szCs w:val="28"/>
        </w:rPr>
      </w:pPr>
      <w:r w:rsidRPr="00F346F5">
        <w:rPr>
          <w:color w:val="000000" w:themeColor="text1"/>
          <w:sz w:val="28"/>
          <w:szCs w:val="28"/>
        </w:rPr>
        <w:t>Ситуационные задания</w:t>
      </w:r>
      <w:r>
        <w:rPr>
          <w:color w:val="000000" w:themeColor="text1"/>
          <w:sz w:val="28"/>
          <w:szCs w:val="28"/>
        </w:rPr>
        <w:t>…………………………………………………12 стр.</w:t>
      </w:r>
    </w:p>
    <w:p w14:paraId="7908C434" w14:textId="7409511F" w:rsidR="00F346F5" w:rsidRPr="00F346F5" w:rsidRDefault="00F346F5" w:rsidP="00F346F5">
      <w:pPr>
        <w:pStyle w:val="Default"/>
        <w:numPr>
          <w:ilvl w:val="0"/>
          <w:numId w:val="3"/>
        </w:numPr>
        <w:spacing w:line="360" w:lineRule="auto"/>
        <w:ind w:left="284" w:hanging="284"/>
        <w:rPr>
          <w:color w:val="000000" w:themeColor="text1"/>
          <w:sz w:val="28"/>
          <w:szCs w:val="28"/>
        </w:rPr>
      </w:pPr>
      <w:r w:rsidRPr="00F346F5">
        <w:rPr>
          <w:color w:val="000000" w:themeColor="text1"/>
          <w:sz w:val="28"/>
          <w:szCs w:val="28"/>
        </w:rPr>
        <w:t>Список литературы</w:t>
      </w:r>
      <w:r>
        <w:rPr>
          <w:color w:val="000000" w:themeColor="text1"/>
          <w:sz w:val="28"/>
          <w:szCs w:val="28"/>
        </w:rPr>
        <w:t>……………………………………………………..15 стр.</w:t>
      </w:r>
    </w:p>
    <w:p w14:paraId="095FED36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06B7392A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55FE9618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484FA597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69F0784A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43789DFC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28B69226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5B684902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1D39A101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766EEDA7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4DDD2ED5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60C5730A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1ECCEFE1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30337BD8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4FE5754F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0E35C51B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423E318C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74C36609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1B44331F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552EAB02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5019DEB2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78A2FF5B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35E01959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3C3C64E0" w14:textId="77777777" w:rsidR="00F346F5" w:rsidRDefault="00F346F5" w:rsidP="00D04B27">
      <w:pPr>
        <w:pStyle w:val="Default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1A000CBF" w14:textId="1D7AB7CA" w:rsidR="00A7102D" w:rsidRDefault="001C6554" w:rsidP="00F346F5">
      <w:pPr>
        <w:pStyle w:val="Default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A7102D">
        <w:rPr>
          <w:b/>
          <w:bCs/>
          <w:color w:val="000000" w:themeColor="text1"/>
          <w:sz w:val="28"/>
          <w:szCs w:val="28"/>
        </w:rPr>
        <w:lastRenderedPageBreak/>
        <w:t>Раздел 1</w:t>
      </w:r>
      <w:r w:rsidRPr="00A7102D">
        <w:rPr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A7102D">
        <w:rPr>
          <w:b/>
          <w:bCs/>
          <w:color w:val="000000" w:themeColor="text1"/>
          <w:sz w:val="28"/>
          <w:szCs w:val="28"/>
        </w:rPr>
        <w:t>Институциональное регулирование развития малого и среднего предпринимательства</w:t>
      </w:r>
      <w:r w:rsidR="00AD17CA" w:rsidRPr="00AD17CA">
        <w:rPr>
          <w:b/>
          <w:bCs/>
          <w:color w:val="000000" w:themeColor="text1"/>
          <w:sz w:val="28"/>
          <w:szCs w:val="28"/>
        </w:rPr>
        <w:t xml:space="preserve"> </w:t>
      </w:r>
      <w:r w:rsidRPr="00A7102D">
        <w:rPr>
          <w:b/>
          <w:bCs/>
          <w:color w:val="000000" w:themeColor="text1"/>
          <w:sz w:val="28"/>
          <w:szCs w:val="28"/>
        </w:rPr>
        <w:t>финансовыми средствами</w:t>
      </w:r>
    </w:p>
    <w:p w14:paraId="7189D993" w14:textId="77777777" w:rsidR="00F346F5" w:rsidRPr="00D04B27" w:rsidRDefault="00F346F5" w:rsidP="00F346F5">
      <w:pPr>
        <w:pStyle w:val="Default"/>
        <w:spacing w:line="360" w:lineRule="auto"/>
        <w:rPr>
          <w:color w:val="000000" w:themeColor="text1"/>
          <w:sz w:val="28"/>
          <w:szCs w:val="28"/>
        </w:rPr>
      </w:pPr>
    </w:p>
    <w:p w14:paraId="0EF5B323" w14:textId="77777777" w:rsidR="001C6554" w:rsidRPr="001C6554" w:rsidRDefault="00D04B27" w:rsidP="00F346F5">
      <w:pPr>
        <w:pStyle w:val="Default"/>
        <w:spacing w:line="360" w:lineRule="auto"/>
        <w:ind w:firstLine="709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9.</w:t>
      </w:r>
      <w:r w:rsidR="001C6554" w:rsidRPr="001C6554">
        <w:rPr>
          <w:b/>
          <w:bCs/>
          <w:sz w:val="28"/>
          <w:szCs w:val="28"/>
          <w:shd w:val="clear" w:color="auto" w:fill="FFFFFF"/>
        </w:rPr>
        <w:t>Формы, условия и порядок поддержки субъектов малого и среднего предпринимательства:</w:t>
      </w:r>
    </w:p>
    <w:p w14:paraId="02E5FE97" w14:textId="77777777" w:rsidR="001C6554" w:rsidRPr="001C6554" w:rsidRDefault="001C6554" w:rsidP="001C6554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0F2F5"/>
          <w:lang w:eastAsia="ru-RU"/>
          <w14:ligatures w14:val="none"/>
        </w:rPr>
      </w:pPr>
      <w:r w:rsidRPr="001C6554">
        <w:rPr>
          <w:rFonts w:eastAsia="Times New Roman"/>
          <w:color w:val="000000" w:themeColor="text1"/>
          <w:sz w:val="28"/>
          <w:szCs w:val="28"/>
          <w:lang w:eastAsia="ru-RU"/>
          <w14:ligatures w14:val="none"/>
        </w:rPr>
        <w:t>поддержка субъектов МСП и организаций, создающих инфраструктуру поддержки МСП, включает финансовую помощь таким предприятиям и организациям, включая гарантии, имущество, информацию и консультации; поддержку подготовки, переподготовки и повышения квалификации работников; поддержку технологических инноваций и промышленного производства; поддержку ремесленничества, а также поддержку субъектов МСП, осуществляющих внешнеэкономическую деятельность.</w:t>
      </w:r>
    </w:p>
    <w:p w14:paraId="4C649529" w14:textId="3F09FB0A" w:rsidR="001C6554" w:rsidRPr="001C6554" w:rsidRDefault="001C6554" w:rsidP="001C6554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0F2F5"/>
          <w:lang w:eastAsia="ru-RU"/>
          <w14:ligatures w14:val="none"/>
        </w:rPr>
      </w:pPr>
      <w:r w:rsidRPr="001C6554">
        <w:rPr>
          <w:color w:val="000000" w:themeColor="text1"/>
          <w:sz w:val="28"/>
          <w:szCs w:val="28"/>
          <w:shd w:val="clear" w:color="auto" w:fill="FFFFFF"/>
        </w:rPr>
        <w:t xml:space="preserve"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 Российской Федерации, государственных программ субъектов Российской Федерации, муниципальных программ </w:t>
      </w:r>
    </w:p>
    <w:p w14:paraId="49BB297A" w14:textId="77777777" w:rsidR="001C6554" w:rsidRPr="001C6554" w:rsidRDefault="001C6554" w:rsidP="001C6554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0F2F5"/>
          <w:lang w:eastAsia="ru-RU"/>
          <w14:ligatures w14:val="none"/>
        </w:rPr>
      </w:pPr>
      <w:r w:rsidRPr="001C6554">
        <w:rPr>
          <w:color w:val="000000" w:themeColor="text1"/>
          <w:sz w:val="28"/>
          <w:szCs w:val="28"/>
        </w:rPr>
        <w:t>Помимо форм помощи, предусмотренных пунктом 1 настоящей статьи, органы государственной власти и органы местного самоуправления субъектов Российской Федерации вправе самостоятельно оказывать иные формы помощи за счет средств бюджета субъекта Российской Федерации и местного бюджета.</w:t>
      </w:r>
    </w:p>
    <w:p w14:paraId="2C330729" w14:textId="77777777" w:rsidR="001C6554" w:rsidRPr="001C6554" w:rsidRDefault="001C6554" w:rsidP="001C6554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0F2F5"/>
          <w:lang w:eastAsia="ru-RU"/>
          <w14:ligatures w14:val="none"/>
        </w:rPr>
      </w:pPr>
      <w:r w:rsidRPr="001C6554">
        <w:rPr>
          <w:color w:val="000000" w:themeColor="text1"/>
          <w:sz w:val="28"/>
          <w:szCs w:val="28"/>
        </w:rPr>
        <w:t xml:space="preserve">Порядок, условия и процедуры оказания содействия субъектам малого и среднего предпринимательства Организацией по развитию малого и среднего предпринимательства и ее дочерними обществами, </w:t>
      </w:r>
      <w:r w:rsidRPr="001C6554">
        <w:rPr>
          <w:color w:val="000000" w:themeColor="text1"/>
          <w:sz w:val="28"/>
          <w:szCs w:val="28"/>
        </w:rPr>
        <w:lastRenderedPageBreak/>
        <w:t>осуществляющей в соответствии с настоящим Федеральным законом деятельность в качестве агентства развития в сфере малого и среднего предпринимательства, периодически определяются Советом директоров Организации по развитию малого и среднего предпринимательства, коллегиальным органом управления ее дочерних обществ и, в случае наличия такого органа, органом дочернего общества.</w:t>
      </w:r>
    </w:p>
    <w:p w14:paraId="3CA68191" w14:textId="77777777" w:rsidR="001C6554" w:rsidRPr="001C6554" w:rsidRDefault="001C6554" w:rsidP="001C6554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0F2F5"/>
          <w:lang w:eastAsia="ru-RU"/>
          <w14:ligatures w14:val="none"/>
        </w:rPr>
      </w:pPr>
      <w:r w:rsidRPr="001C6554">
        <w:rPr>
          <w:color w:val="000000" w:themeColor="text1"/>
          <w:sz w:val="28"/>
          <w:szCs w:val="28"/>
        </w:rPr>
        <w:t xml:space="preserve">В соответствии с данным Федеральным законом Агентство по развитию малого и среднего предпринимательства, выступая в качестве агентства по развитию сектора МСП, осуществляет мониторинг оказания поддержки субъектам МСП и </w:t>
      </w:r>
      <w:proofErr w:type="spellStart"/>
      <w:r w:rsidRPr="001C6554">
        <w:rPr>
          <w:color w:val="000000" w:themeColor="text1"/>
          <w:sz w:val="28"/>
          <w:szCs w:val="28"/>
        </w:rPr>
        <w:t>инфраструктурообразующим</w:t>
      </w:r>
      <w:proofErr w:type="spellEnd"/>
      <w:r w:rsidRPr="001C6554">
        <w:rPr>
          <w:color w:val="000000" w:themeColor="text1"/>
          <w:sz w:val="28"/>
          <w:szCs w:val="28"/>
        </w:rPr>
        <w:t xml:space="preserve"> организациям федеральными органами исполнительной власти, органами государственной власти субъектов Российской Федерации и органами местного самоуправления в порядке, установленном Правительством Российской Федерации</w:t>
      </w:r>
      <w:r w:rsidRPr="00DE1C59">
        <w:rPr>
          <w:color w:val="000000" w:themeColor="text1"/>
          <w:sz w:val="28"/>
          <w:szCs w:val="28"/>
        </w:rPr>
        <w:t>.</w:t>
      </w:r>
    </w:p>
    <w:p w14:paraId="5AC57110" w14:textId="77777777" w:rsidR="001C6554" w:rsidRPr="001C6554" w:rsidRDefault="001C6554" w:rsidP="001C6554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0F2F5"/>
          <w:lang w:eastAsia="ru-RU"/>
          <w14:ligatures w14:val="none"/>
        </w:rPr>
      </w:pPr>
      <w:r w:rsidRPr="001C6554">
        <w:rPr>
          <w:color w:val="000000" w:themeColor="text1"/>
          <w:sz w:val="28"/>
          <w:szCs w:val="28"/>
        </w:rPr>
        <w:t>В целях проведения мониторинга, предусмотренного пунктом 5 настоящей статьи</w:t>
      </w:r>
      <w:r>
        <w:rPr>
          <w:color w:val="000000" w:themeColor="text1"/>
          <w:sz w:val="28"/>
          <w:szCs w:val="28"/>
        </w:rPr>
        <w:t xml:space="preserve"> 16 </w:t>
      </w:r>
      <w:hyperlink r:id="rId8" w:history="1">
        <w:r w:rsidRPr="001C6554">
          <w:rPr>
            <w:rStyle w:val="a3"/>
            <w:bCs/>
            <w:color w:val="000000" w:themeColor="text1"/>
            <w:sz w:val="28"/>
            <w:szCs w:val="28"/>
            <w:u w:val="none"/>
          </w:rPr>
          <w:t>Федеральный закон от 24.07.2007 N 209-ФЗ (ред. от 10.07.2023) "О развитии малого и среднего предпринимательства в Российской Федерации"</w:t>
        </w:r>
      </w:hyperlink>
      <w:r w:rsidRPr="001C6554">
        <w:rPr>
          <w:color w:val="000000" w:themeColor="text1"/>
          <w:sz w:val="28"/>
          <w:szCs w:val="28"/>
        </w:rPr>
        <w:t xml:space="preserve">, федеральные органы исполнительной власти, органы исполнительной власти субъектов Российской Федерации, органы местного самоуправления и организации, оказывающие содействие и формирующие основу для поддержки МСП, представляют в Агентство по развитию МСП информацию о субъектах МСП и информацию, предоставленную организациям, формирующим основу для поддержки МСП. Указанная информация представляется в Агентство по развитию МСП. Состав, сроки, порядок и форма представления этой информации определяются федеральным органом исполнительной власти, осуществляющим функции по выработке государственной политики и </w:t>
      </w:r>
      <w:r w:rsidRPr="001C6554">
        <w:rPr>
          <w:color w:val="000000" w:themeColor="text1"/>
          <w:sz w:val="28"/>
          <w:szCs w:val="28"/>
        </w:rPr>
        <w:lastRenderedPageBreak/>
        <w:t>нормативно-правовому регулированию в сфере развития предпринимательской деятельности, включая МСП.</w:t>
      </w:r>
      <w:r w:rsidR="00DE1C59">
        <w:rPr>
          <w:rStyle w:val="a7"/>
          <w:color w:val="000000" w:themeColor="text1"/>
          <w:sz w:val="28"/>
          <w:szCs w:val="28"/>
        </w:rPr>
        <w:footnoteReference w:id="1"/>
      </w:r>
    </w:p>
    <w:p w14:paraId="638F6766" w14:textId="77777777" w:rsidR="001C6554" w:rsidRPr="001C6554" w:rsidRDefault="001C6554" w:rsidP="001C6554">
      <w:pPr>
        <w:pStyle w:val="Default"/>
        <w:spacing w:line="360" w:lineRule="auto"/>
        <w:ind w:left="709"/>
        <w:jc w:val="both"/>
        <w:rPr>
          <w:rFonts w:eastAsia="Times New Roman"/>
          <w:color w:val="000000" w:themeColor="text1"/>
          <w:sz w:val="28"/>
          <w:szCs w:val="28"/>
          <w:shd w:val="clear" w:color="auto" w:fill="F0F2F5"/>
          <w:lang w:eastAsia="ru-RU"/>
          <w14:ligatures w14:val="none"/>
        </w:rPr>
      </w:pPr>
    </w:p>
    <w:p w14:paraId="0F7EA62C" w14:textId="77777777" w:rsidR="001C6554" w:rsidRDefault="001C6554" w:rsidP="001C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54">
        <w:rPr>
          <w:rFonts w:ascii="Times New Roman" w:hAnsi="Times New Roman" w:cs="Times New Roman"/>
          <w:b/>
          <w:sz w:val="28"/>
          <w:szCs w:val="28"/>
        </w:rPr>
        <w:t>10. Охарактеризуйте прямые меры финансовой поддержки</w:t>
      </w:r>
    </w:p>
    <w:p w14:paraId="08B9B1F7" w14:textId="77777777" w:rsidR="00F454EB" w:rsidRPr="00F454EB" w:rsidRDefault="00F454EB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F454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настоящее время все меры финансовой поддержки направлены на поддержание занятости, причем размер поддержки зависит от численности работников организации или индивидуального предпринимателя. Поддержка оказывается в виде льготных кредитов. В ближайшее время планируется </w:t>
      </w:r>
      <w:r w:rsidRPr="00F454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начать выдачу безвозмездных субсидий.</w:t>
      </w:r>
    </w:p>
    <w:p w14:paraId="56ED0B40" w14:textId="77777777" w:rsidR="00F454EB" w:rsidRPr="00F454EB" w:rsidRDefault="00F454EB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F454EB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  <w14:ligatures w14:val="none"/>
        </w:rPr>
        <w:t>Льготные кредиты</w:t>
      </w:r>
    </w:p>
    <w:p w14:paraId="5ED56AC4" w14:textId="77777777" w:rsidR="00F454EB" w:rsidRPr="00F454EB" w:rsidRDefault="00F454EB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F454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соответствии с Постановлением Правительства РФ № 422 от 2 апреля 2020 года банкам, предоставляющим кредиты субъектам МСП, предоставляются бюджетные субсидии. В данной п</w:t>
      </w:r>
      <w:r w:rsidR="00A7102D" w:rsidRPr="00A7102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рограмме участвуют шесть банков</w:t>
      </w:r>
      <w:r w:rsidR="00A7102D" w:rsidRPr="00A710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(Сбербанк, МСП-Банк, ВТБ, Промсвязьбанк, Газпромбанк и Банк «Открытие».</w:t>
      </w:r>
    </w:p>
    <w:p w14:paraId="3C6DDD36" w14:textId="77777777" w:rsidR="00A7102D" w:rsidRDefault="00F454EB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F454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Кредиты предназначены для малых и средних предприятий (МСП), относящихся к категории "микропредприятия" или "малые предприятия":</w:t>
      </w:r>
    </w:p>
    <w:p w14:paraId="5DCC2BB2" w14:textId="77777777" w:rsidR="00A7102D" w:rsidRPr="00A7102D" w:rsidRDefault="00F454EB" w:rsidP="00A7102D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A710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осуществляют свою деятельность не менее одного года в одной или нескольких отраслях или видах деятельности, перечисленных в "перечне", на дату подписания кредитного договора</w:t>
      </w:r>
      <w:r w:rsidR="00A7102D" w:rsidRPr="00A710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CB525A6" w14:textId="77777777" w:rsidR="00F454EB" w:rsidRPr="00A7102D" w:rsidRDefault="00F454EB" w:rsidP="00A7102D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A710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предприятия, которые на дату подписания кредитного договора не находятся в процедуре банкротства или не прекратили свою деятельность в порядке, предусмотренном законодательством.</w:t>
      </w:r>
    </w:p>
    <w:p w14:paraId="4C725747" w14:textId="77777777" w:rsidR="00F454EB" w:rsidRPr="00F454EB" w:rsidRDefault="00F454EB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F454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дальнейшем эта мера будет распространена и на средние предприятия.</w:t>
      </w:r>
    </w:p>
    <w:p w14:paraId="598B0FF0" w14:textId="77777777" w:rsidR="00A7102D" w:rsidRDefault="00F454EB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F454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Кредиты предоставляются сроком на шесть месяцев, при этом минимальная заработная плата умножается на количество работников на </w:t>
      </w:r>
      <w:r w:rsidRPr="00F454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МСП. Процентная ставка составляет 0% в течение первых шести месяцев действия договора и 4% в дальнейшем.</w:t>
      </w:r>
    </w:p>
    <w:p w14:paraId="46EF5F86" w14:textId="77777777" w:rsidR="00F454EB" w:rsidRPr="00F454EB" w:rsidRDefault="00F454EB" w:rsidP="00DE1C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F454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Основная сумма долга заемщика погашается в соответствии с графиком, установленным банком, по истечении срока действия кредитного договора (обязательства) или после 1 октября 2020 года с возможностью досрочного погашения по желанию заемщика.</w:t>
      </w:r>
    </w:p>
    <w:p w14:paraId="683082C0" w14:textId="77777777" w:rsidR="00A7102D" w:rsidRPr="00A7102D" w:rsidRDefault="00F454EB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F454E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Безвозвратные гранты.</w:t>
      </w:r>
    </w:p>
    <w:p w14:paraId="2814EF3F" w14:textId="77777777" w:rsidR="00A7102D" w:rsidRPr="00A7102D" w:rsidRDefault="00F454EB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F454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Гранты предоставляются начиная с 18 мая. Гранты можно использовать по своему усмотрению, например, для выплаты заработной платы, оплаты коммунальных услуг или других платежей. Обязательств перед бюджетом по конкрет</w:t>
      </w:r>
      <w:r w:rsidR="00A7102D" w:rsidRPr="00A710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ному использованию не возникает.</w:t>
      </w:r>
    </w:p>
    <w:p w14:paraId="462B0227" w14:textId="77777777" w:rsidR="00A7102D" w:rsidRPr="00A7102D" w:rsidRDefault="00F454EB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F454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Мера вводится на два месяца: по итогам апреля грант должен быть получен до 18 мая, а по итогам мая - до конца июня. Размер субсидии рассчитывается исходя из минимального размера оплаты труда одного работника в месяц.</w:t>
      </w:r>
    </w:p>
    <w:p w14:paraId="7AFE69D5" w14:textId="77777777" w:rsidR="00A7102D" w:rsidRDefault="00F454EB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710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Условием получения субсидии является сохранение не менее 90% рабочих мест (по сравнению с данными на 1 апреля). Заявки подаются в течение месяца с 1 мая</w:t>
      </w:r>
      <w:r w:rsidR="00D04B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DE1C59">
        <w:rPr>
          <w:rStyle w:val="a7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footnoteReference w:id="2"/>
      </w:r>
    </w:p>
    <w:p w14:paraId="0D2EFE27" w14:textId="77777777" w:rsidR="00901210" w:rsidRDefault="00901210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D8D5B0" w14:textId="77777777" w:rsidR="00901210" w:rsidRDefault="00901210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F8AB1A1" w14:textId="77777777" w:rsidR="00901210" w:rsidRDefault="00901210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6CD4E85" w14:textId="77777777" w:rsidR="00901210" w:rsidRDefault="00901210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4A26C6" w14:textId="77777777" w:rsidR="00901210" w:rsidRDefault="00901210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BE4755" w14:textId="77777777" w:rsidR="00901210" w:rsidRDefault="00901210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C353B6" w14:textId="77777777" w:rsidR="00901210" w:rsidRDefault="00901210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66F19B2" w14:textId="77777777" w:rsidR="00901210" w:rsidRDefault="00901210" w:rsidP="00A7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F39C4CA" w14:textId="77777777" w:rsidR="00901210" w:rsidRDefault="00901210" w:rsidP="00DE1C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63F4E6E" w14:textId="77777777" w:rsidR="00DE1C59" w:rsidRDefault="00DE1C59" w:rsidP="00DE1C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B08BA8" w14:textId="77777777" w:rsidR="00A7102D" w:rsidRPr="00A7102D" w:rsidRDefault="00A7102D" w:rsidP="00A7102D">
      <w:pPr>
        <w:pStyle w:val="Default"/>
        <w:jc w:val="center"/>
        <w:rPr>
          <w:color w:val="auto"/>
          <w:sz w:val="28"/>
          <w:szCs w:val="28"/>
        </w:rPr>
      </w:pPr>
      <w:r w:rsidRPr="00A7102D">
        <w:rPr>
          <w:b/>
          <w:bCs/>
          <w:color w:val="auto"/>
          <w:sz w:val="28"/>
          <w:szCs w:val="28"/>
        </w:rPr>
        <w:lastRenderedPageBreak/>
        <w:t>Раздел 2</w:t>
      </w:r>
      <w:r w:rsidRPr="00A7102D">
        <w:rPr>
          <w:b/>
          <w:bCs/>
          <w:i/>
          <w:iCs/>
          <w:color w:val="auto"/>
          <w:sz w:val="28"/>
          <w:szCs w:val="28"/>
        </w:rPr>
        <w:t xml:space="preserve">. </w:t>
      </w:r>
      <w:r w:rsidRPr="00A7102D">
        <w:rPr>
          <w:b/>
          <w:bCs/>
          <w:color w:val="auto"/>
          <w:sz w:val="28"/>
          <w:szCs w:val="28"/>
        </w:rPr>
        <w:t>Особенности регулирования инновационного, социального малого и среднего предпринимательства (МСП).</w:t>
      </w:r>
    </w:p>
    <w:p w14:paraId="20EA80A1" w14:textId="77777777" w:rsidR="00F454EB" w:rsidRDefault="00A7102D" w:rsidP="00A710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102D">
        <w:rPr>
          <w:rFonts w:ascii="Times New Roman" w:hAnsi="Times New Roman" w:cs="Times New Roman"/>
          <w:sz w:val="28"/>
          <w:szCs w:val="28"/>
        </w:rPr>
        <w:t>4. Как осуществляется венчурное инвестирование малых инновационных компаний?</w:t>
      </w:r>
    </w:p>
    <w:p w14:paraId="5F5556BC" w14:textId="77777777" w:rsidR="00A7102D" w:rsidRPr="00A7102D" w:rsidRDefault="00A7102D" w:rsidP="00901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A7102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Венчурный бизнес обычно трактуется как высокорисковый.</w:t>
      </w:r>
    </w:p>
    <w:p w14:paraId="67ED579D" w14:textId="77777777" w:rsidR="00A7102D" w:rsidRPr="00901210" w:rsidRDefault="00A7102D" w:rsidP="00901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012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 является одной из форм технологических инноваций. Для венчурного бизнеса характерна коммерциализация результатов наукоемких, в частности, научных исследований в высокотехнологичных областях.</w:t>
      </w:r>
    </w:p>
    <w:p w14:paraId="174722C4" w14:textId="77777777" w:rsidR="00901210" w:rsidRPr="00901210" w:rsidRDefault="00901210" w:rsidP="00901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 w:rsidRPr="009012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Венчурное инвестирование - это финансирование молодых и перспективных проектов.</w:t>
      </w:r>
    </w:p>
    <w:p w14:paraId="1F0D6EEE" w14:textId="77777777" w:rsidR="00901210" w:rsidRDefault="00901210" w:rsidP="00901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12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 правило, это инновационные стартапы, представляющие такие технологические отрасли, как разработка программного обеспечения, облачные вычисления, искусственный интеллект или </w:t>
      </w:r>
      <w:proofErr w:type="spellStart"/>
      <w:r w:rsidRPr="009012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биофармацевтика</w:t>
      </w:r>
      <w:proofErr w:type="spellEnd"/>
      <w:r w:rsidRPr="009012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По статистике, 75% стартапов не оправдывают вложенных в них средств.</w:t>
      </w:r>
    </w:p>
    <w:p w14:paraId="61655D00" w14:textId="77777777" w:rsidR="00901210" w:rsidRPr="00901210" w:rsidRDefault="00901210" w:rsidP="00901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7"/>
          <w:shd w:val="clear" w:color="auto" w:fill="F0F2F5"/>
          <w:lang w:eastAsia="ru-RU"/>
          <w14:ligatures w14:val="none"/>
        </w:rPr>
      </w:pPr>
      <w:r w:rsidRPr="00901210">
        <w:rPr>
          <w:rFonts w:ascii="Times New Roman" w:eastAsia="Times New Roman" w:hAnsi="Times New Roman" w:cs="Times New Roman"/>
          <w:color w:val="000000"/>
          <w:kern w:val="0"/>
          <w:sz w:val="28"/>
          <w:szCs w:val="27"/>
          <w:lang w:eastAsia="ru-RU"/>
          <w14:ligatures w14:val="none"/>
        </w:rPr>
        <w:t>Венчурный капитал привлекается от состоятельных частных инвесторов и венчурных фондов. Для молодых проектов это зачастую единственный источник финансирования. В конечном итоге традиционные методы финансирования для венчурных компаний недоступны. Банки не готовы кредитовать такие высокорисковые компании или принимают кредиты только под залог материальных активов. Однако у технологических компаний таких активов нет, их главный актив - интеллектуальная собственность.</w:t>
      </w:r>
    </w:p>
    <w:p w14:paraId="08ADC037" w14:textId="77777777" w:rsidR="00901210" w:rsidRDefault="00901210" w:rsidP="00901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7"/>
          <w:lang w:eastAsia="ru-RU"/>
          <w14:ligatures w14:val="none"/>
        </w:rPr>
      </w:pPr>
      <w:r w:rsidRPr="00901210">
        <w:rPr>
          <w:rFonts w:ascii="Times New Roman" w:eastAsia="Times New Roman" w:hAnsi="Times New Roman" w:cs="Times New Roman"/>
          <w:color w:val="000000"/>
          <w:kern w:val="0"/>
          <w:sz w:val="28"/>
          <w:szCs w:val="27"/>
          <w:lang w:eastAsia="ru-RU"/>
          <w14:ligatures w14:val="none"/>
        </w:rPr>
        <w:t>Именно в таких случаях венчурные капиталисты оказывают поддержку начинающим компаниям. Основная идея венчурного инвестирования заключается в том, чтобы вкладывать деньги до тех пор, пока перспективная компания не станет достаточно крупной и привлекательной, чтобы ее приобрела более крупная компания. Или пока они не выйдут на фондовый рынок, т.е. не проведут IPO. В то же время средний период зрелости стартапов составляет пять-восемь лет.</w:t>
      </w:r>
    </w:p>
    <w:p w14:paraId="0CB3B116" w14:textId="77777777" w:rsidR="00901210" w:rsidRPr="00901210" w:rsidRDefault="00901210" w:rsidP="00901210">
      <w:pPr>
        <w:pStyle w:val="paragraph--tt6rk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1210">
        <w:rPr>
          <w:color w:val="000000" w:themeColor="text1"/>
          <w:sz w:val="28"/>
          <w:szCs w:val="28"/>
        </w:rPr>
        <w:lastRenderedPageBreak/>
        <w:t>Венчурный инвестор не скован законодательным регулированием, под которое подпадают банки. Ему не нужно лицензирование для ведения деятельности, нет контроля со стороны ЦБ, не надо поддерживать кредитный рейтинг и финансовую ликвидность, чтобы исполнять обязанности перед вкладчиками.</w:t>
      </w:r>
    </w:p>
    <w:p w14:paraId="649D47D2" w14:textId="77777777" w:rsidR="00901210" w:rsidRPr="00901210" w:rsidRDefault="00901210" w:rsidP="00901210">
      <w:pPr>
        <w:pStyle w:val="paragraph--tt6rk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1210">
        <w:rPr>
          <w:color w:val="000000" w:themeColor="text1"/>
          <w:sz w:val="28"/>
          <w:szCs w:val="28"/>
        </w:rPr>
        <w:t>Венчурный инвестор обладает свободой распоряжаться финансами по своему усмотрению и брать на себя высокие риски — он изначально понимает, что большинство стартапов, в которые он вкладывает, не оправдает себя. Банки не могут себе позволить подобную бизнес-модель, их принцип работы строится на получении процентов с кредитования, поэтому выдаваемые займы должны быть обеспеченными и надежными.</w:t>
      </w:r>
    </w:p>
    <w:p w14:paraId="00D9314A" w14:textId="77777777" w:rsidR="00901210" w:rsidRDefault="00901210" w:rsidP="00A67070">
      <w:pPr>
        <w:pStyle w:val="paragraph--tt6rk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1210">
        <w:rPr>
          <w:color w:val="000000" w:themeColor="text1"/>
          <w:sz w:val="28"/>
          <w:szCs w:val="28"/>
        </w:rPr>
        <w:t xml:space="preserve">Главным же недостатком такого способа финансирования для молодых проектов является то, что венчурные инвесторы обычно получают долю в компании. Таким образом, они имеют право на часть будущей прибыли, получают голос при принятии решений и влияют на дальнейшее развитие проекта. С другой стороны, венчурный инвестор привносит в стартап свой опыт, связи, навыки управления бизнесом, что зачастую становятся </w:t>
      </w:r>
      <w:r w:rsidRPr="00A67070">
        <w:rPr>
          <w:color w:val="000000" w:themeColor="text1"/>
          <w:sz w:val="28"/>
          <w:szCs w:val="28"/>
        </w:rPr>
        <w:t>подспорьем и дает толчок к эффективному развитию.</w:t>
      </w:r>
      <w:r w:rsidR="00DE1C59">
        <w:rPr>
          <w:rStyle w:val="a7"/>
          <w:color w:val="000000" w:themeColor="text1"/>
          <w:sz w:val="28"/>
          <w:szCs w:val="28"/>
        </w:rPr>
        <w:footnoteReference w:id="3"/>
      </w:r>
    </w:p>
    <w:p w14:paraId="274489E0" w14:textId="77777777" w:rsidR="00A67070" w:rsidRPr="00A67070" w:rsidRDefault="00A67070" w:rsidP="00A67070">
      <w:pPr>
        <w:pStyle w:val="paragraph--tt6rk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B6A0D61" w14:textId="77777777" w:rsidR="00901210" w:rsidRDefault="00A67070" w:rsidP="00A670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7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Докажите необходимость усиления поддержки малых форм в сфере АПК для обеспечения импортозамещения и продовольственной безопасности Российской Федерации</w:t>
      </w:r>
      <w:r w:rsidRPr="00A67070">
        <w:rPr>
          <w:rFonts w:ascii="Times New Roman" w:hAnsi="Times New Roman" w:cs="Times New Roman"/>
          <w:sz w:val="28"/>
          <w:szCs w:val="28"/>
        </w:rPr>
        <w:t>.</w:t>
      </w:r>
    </w:p>
    <w:p w14:paraId="7E8FE749" w14:textId="77777777" w:rsidR="002469D2" w:rsidRPr="002469D2" w:rsidRDefault="002469D2" w:rsidP="002469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9D2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импортозамещения в АПК проявляется в единстве его составляющих механизмов (блоков) – организационного и экономического, включающих, в свою очередь, определенные формы, методы, инстру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менты</w:t>
      </w:r>
      <w:r w:rsidRPr="00246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поддержки сельскохозяйственных товаропроизводителей государством предусмотрены следующие меры: субсидирование, кредитование, </w:t>
      </w:r>
      <w:r w:rsidRPr="002469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страхование, налогообложение, информационное обеспечение производителей, проведение закупочных интервенций и др.</w:t>
      </w:r>
    </w:p>
    <w:p w14:paraId="71A8E80B" w14:textId="77777777" w:rsidR="002469D2" w:rsidRDefault="002469D2" w:rsidP="002469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направления отражены в реализуемой «Государственной программе развития сельского хозяйства и регулирования рынков сельскохозяйственной продукции, сырья и продовольствия», пролонгированной до 2025 г., которая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 основополагающим доку</w:t>
      </w:r>
      <w:r w:rsidRPr="00246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ментом реализации механизма импортозамещения в России. Поддержка отраслей АПК, обеспечивающих ускоренное импортозамещение, реализуется в рамках ведомственного проекта «Развитие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продовольствия» указанной программы. </w:t>
      </w:r>
    </w:p>
    <w:p w14:paraId="77DAF4A4" w14:textId="77777777" w:rsidR="002469D2" w:rsidRPr="002469D2" w:rsidRDefault="002469D2" w:rsidP="002469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9D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задачи, от решения которых зависит достижение цели ускоренного импортозамещения, представлены ростом объемов производства продукции приоритетных видов отраслей животноводства и растениеводства, пищевой и перерабатывающей промышленности, увеличением площадей многолетних насаждений и виноградников. Так, основным инструментом реализации механизма импортозамещения выступают субсидии из федерального бюджета (компенсирующая направлена на поддержку отдельных подотраслей растениеводства и животноводства, сельскохозяйственное страхование; стимулирующая – на развитие приоритетных подотраслей АПК и малых форм хозяйствования)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4B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</w:p>
    <w:p w14:paraId="25E82127" w14:textId="77777777" w:rsidR="002469D2" w:rsidRDefault="00B53464" w:rsidP="00B534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помимо прямых субсидий поддержка агропромышленного комплекса оказывается путем реализации косвенных мер государственной поддержки, в том числе налоговых льгот и преференций (нулевая ставка по налогу на прибыль, пониженная ставка налога на 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добавленную стоимость, специальные налоговые режимы, льготное налогообложение земельных участков и др.)</w:t>
      </w:r>
    </w:p>
    <w:p w14:paraId="554CAC75" w14:textId="77777777" w:rsidR="00B53464" w:rsidRDefault="00B53464" w:rsidP="00B534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Продвижению и внедрению инноваций в отечественное сельскохозяйственное производство препятствуют низкие качество и эксплуатационные характеристики отечественных комплектующих, а также ограниченность их ассортим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ента. Так, государственная поли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тика сельскохозяйственного машиностроения в контексте проведения научно-исследовательских и опытно-конструкторских работ повысит качество техники, что, в свою очередь, должно привести к повышению урожайности сельскохозяйственных культур и содействию импортозамещения.</w:t>
      </w:r>
    </w:p>
    <w:p w14:paraId="7980F5CB" w14:textId="77777777" w:rsidR="00B53464" w:rsidRPr="00B53464" w:rsidRDefault="00B53464" w:rsidP="00B534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Разумеется, создание универсального механиз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ма стимулирования импортозамеще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ния в АПК не представляется возможным по причине спе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цифичности регионов, обусловлен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ных прир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одно-ресурсным потенциалом, сло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жившимися условиями производства, уровнем 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спроса на продукцию АПК. Необхо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димо вы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общую модель, синхрони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зировав де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йствия всех уровней власти, биз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нес-структур и непосредственно предприятий АПК во </w:t>
      </w:r>
      <w:proofErr w:type="spellStart"/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заимоувязке</w:t>
      </w:r>
      <w:proofErr w:type="spellEnd"/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программно-целевы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ми механизмами (муниципальные, областные и федераль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ные программы) и нормативно-пра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вовым обес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печением, которое соответствова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ло бы совр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еменным тенденциям развития рос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сийской экономики. Фи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нансирование традиционно продол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жает б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ыть локомотивом развития ресурс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ной баз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ы предприятий АПК. Поэтому целе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сообразн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о продолжать наращивать потенци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 финансовых мер поддержки отраслей АПК, 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обеспечивающих ускоренное импор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тозамещение в контексте стимулирования государст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венно-частного партнерства (воп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росы лог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истики, обмен опытом, инвестици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онные пр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оекты). Развитие данного инстру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мента способствует снижению бюджетной нагрузки.</w:t>
      </w:r>
    </w:p>
    <w:p w14:paraId="63625F29" w14:textId="77777777" w:rsidR="00B53464" w:rsidRDefault="00B53464" w:rsidP="00B534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В части стимулирования инвестиционной деятельности в АПК необходимо увеличить объемы и создать условия для доступности инвестиционных ресурсов. При этом особо важным представляется увеличение объемов субсидир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ования вновь привлекаемых инвес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тиционных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кредитов. Также считаем возмож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ным расши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рение направлений грантовой под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держки и п</w:t>
      </w:r>
      <w:r w:rsidR="00D04B27">
        <w:rPr>
          <w:rFonts w:ascii="Times New Roman" w:hAnsi="Times New Roman" w:cs="Times New Roman"/>
          <w:color w:val="000000" w:themeColor="text1"/>
          <w:sz w:val="28"/>
          <w:szCs w:val="28"/>
        </w:rPr>
        <w:t>еречня целевого льготного крат</w:t>
      </w:r>
      <w:r w:rsidRPr="00B53464">
        <w:rPr>
          <w:rFonts w:ascii="Times New Roman" w:hAnsi="Times New Roman" w:cs="Times New Roman"/>
          <w:color w:val="000000" w:themeColor="text1"/>
          <w:sz w:val="28"/>
          <w:szCs w:val="28"/>
        </w:rPr>
        <w:t>косрочного кредитования.</w:t>
      </w:r>
    </w:p>
    <w:p w14:paraId="4FE98FD2" w14:textId="77777777" w:rsidR="00A62234" w:rsidRDefault="00A62234" w:rsidP="00A62234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СИТУАЦИОННЫЕ ЗАДАНИЯ </w:t>
      </w:r>
    </w:p>
    <w:p w14:paraId="4E3F42A8" w14:textId="77777777" w:rsidR="00A62234" w:rsidRDefault="00A62234" w:rsidP="00A6223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Раздел 3. Сущность, критерии и виды малого и среднего предпринимательства 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1842"/>
        <w:gridCol w:w="1701"/>
        <w:gridCol w:w="1442"/>
      </w:tblGrid>
      <w:tr w:rsidR="00A62234" w14:paraId="7B3D0DDA" w14:textId="77777777" w:rsidTr="00752BD9">
        <w:trPr>
          <w:trHeight w:val="5138"/>
        </w:trPr>
        <w:tc>
          <w:tcPr>
            <w:tcW w:w="2235" w:type="dxa"/>
            <w:tcBorders>
              <w:bottom w:val="single" w:sz="4" w:space="0" w:color="auto"/>
            </w:tcBorders>
          </w:tcPr>
          <w:p w14:paraId="6BECF8ED" w14:textId="77777777" w:rsidR="00752BD9" w:rsidRDefault="00A62234" w:rsidP="00C1172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Приведите примеры предприятий, функционирующих в вашем городе по следующим направлениям предпринимательской деятельности и заполните таблицу, отражающую основные характеристики перечисленных видов предпринимательской деятельности. </w:t>
            </w:r>
          </w:p>
          <w:p w14:paraId="7D168A64" w14:textId="77777777" w:rsidR="00A62234" w:rsidRDefault="00752BD9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Сфера предпринимательской деятельности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C8068D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поле деятельности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8B04289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функции предпринимателя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F57083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Особенность производимого товара (услуги) 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7EEA3D42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 </w:t>
            </w:r>
          </w:p>
        </w:tc>
      </w:tr>
      <w:tr w:rsidR="00A62234" w14:paraId="2E0C9AB3" w14:textId="77777777" w:rsidTr="00C11726">
        <w:trPr>
          <w:trHeight w:val="109"/>
        </w:trPr>
        <w:tc>
          <w:tcPr>
            <w:tcW w:w="2235" w:type="dxa"/>
          </w:tcPr>
          <w:p w14:paraId="70494E37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Производственное </w:t>
            </w:r>
          </w:p>
        </w:tc>
        <w:tc>
          <w:tcPr>
            <w:tcW w:w="2268" w:type="dxa"/>
          </w:tcPr>
          <w:p w14:paraId="474A9515" w14:textId="77777777" w:rsidR="00A62234" w:rsidRDefault="00752BD9" w:rsidP="00C11726">
            <w:pPr>
              <w:pStyle w:val="Default"/>
              <w:rPr>
                <w:sz w:val="23"/>
                <w:szCs w:val="23"/>
              </w:rPr>
            </w:pPr>
            <w:r>
              <w:t>Производствен</w:t>
            </w:r>
            <w:r w:rsidRPr="00953EE3">
              <w:t>ные предприятия и учреждения</w:t>
            </w:r>
          </w:p>
        </w:tc>
        <w:tc>
          <w:tcPr>
            <w:tcW w:w="1842" w:type="dxa"/>
          </w:tcPr>
          <w:p w14:paraId="13461F46" w14:textId="77777777" w:rsidR="00A62234" w:rsidRDefault="00752BD9" w:rsidP="00C11726">
            <w:pPr>
              <w:pStyle w:val="Default"/>
              <w:rPr>
                <w:sz w:val="23"/>
                <w:szCs w:val="23"/>
              </w:rPr>
            </w:pPr>
            <w:r w:rsidRPr="00953EE3">
              <w:rPr>
                <w:shd w:val="clear" w:color="auto" w:fill="FFFFFF"/>
              </w:rPr>
              <w:t>Использование факторов-ресурсов для получения товара с последующей реализацией потребителю.</w:t>
            </w:r>
          </w:p>
        </w:tc>
        <w:tc>
          <w:tcPr>
            <w:tcW w:w="1701" w:type="dxa"/>
          </w:tcPr>
          <w:p w14:paraId="042A6F57" w14:textId="77777777" w:rsidR="00A62234" w:rsidRDefault="00752BD9" w:rsidP="00C11726">
            <w:pPr>
              <w:pStyle w:val="Default"/>
              <w:rPr>
                <w:sz w:val="23"/>
                <w:szCs w:val="23"/>
              </w:rPr>
            </w:pPr>
            <w:r w:rsidRPr="00953EE3">
              <w:t>Информации и духовной деятельности.</w:t>
            </w:r>
          </w:p>
        </w:tc>
        <w:tc>
          <w:tcPr>
            <w:tcW w:w="1442" w:type="dxa"/>
          </w:tcPr>
          <w:p w14:paraId="6AFE04D7" w14:textId="77777777" w:rsidR="00A62234" w:rsidRPr="00B02848" w:rsidRDefault="00B02848" w:rsidP="00C11726">
            <w:pPr>
              <w:pStyle w:val="Default"/>
            </w:pPr>
            <w:r w:rsidRPr="00B02848">
              <w:rPr>
                <w:bCs/>
                <w:spacing w:val="5"/>
                <w:shd w:val="clear" w:color="auto" w:fill="FFFFFF"/>
              </w:rPr>
              <w:t>Волгоградский керамический завод (ВКЗ)</w:t>
            </w:r>
          </w:p>
        </w:tc>
      </w:tr>
      <w:tr w:rsidR="00A62234" w14:paraId="740EA7A9" w14:textId="77777777" w:rsidTr="00C11726">
        <w:trPr>
          <w:trHeight w:val="109"/>
        </w:trPr>
        <w:tc>
          <w:tcPr>
            <w:tcW w:w="2235" w:type="dxa"/>
          </w:tcPr>
          <w:p w14:paraId="3497A2C3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Финансовое </w:t>
            </w:r>
          </w:p>
        </w:tc>
        <w:tc>
          <w:tcPr>
            <w:tcW w:w="2268" w:type="dxa"/>
          </w:tcPr>
          <w:p w14:paraId="384BF599" w14:textId="77777777" w:rsidR="00A62234" w:rsidRDefault="00752BD9" w:rsidP="00C11726">
            <w:pPr>
              <w:pStyle w:val="Default"/>
              <w:rPr>
                <w:sz w:val="23"/>
                <w:szCs w:val="23"/>
              </w:rPr>
            </w:pPr>
            <w:r w:rsidRPr="00953EE3">
              <w:t xml:space="preserve">Банки, фондовые биржи и </w:t>
            </w:r>
            <w:proofErr w:type="spellStart"/>
            <w:r w:rsidRPr="00953EE3">
              <w:t>тра-стовые</w:t>
            </w:r>
            <w:proofErr w:type="spellEnd"/>
            <w:r w:rsidRPr="00953EE3">
              <w:t xml:space="preserve"> компании</w:t>
            </w:r>
          </w:p>
        </w:tc>
        <w:tc>
          <w:tcPr>
            <w:tcW w:w="1842" w:type="dxa"/>
          </w:tcPr>
          <w:p w14:paraId="5519B17E" w14:textId="77777777" w:rsidR="00A62234" w:rsidRDefault="00B02848" w:rsidP="00C11726">
            <w:pPr>
              <w:pStyle w:val="Default"/>
              <w:rPr>
                <w:sz w:val="23"/>
                <w:szCs w:val="23"/>
              </w:rPr>
            </w:pPr>
            <w:r w:rsidRPr="00953EE3">
              <w:t>Купле- продажа валют и ценных бумаг.</w:t>
            </w:r>
          </w:p>
        </w:tc>
        <w:tc>
          <w:tcPr>
            <w:tcW w:w="1701" w:type="dxa"/>
          </w:tcPr>
          <w:p w14:paraId="55BB107B" w14:textId="77777777" w:rsidR="00A62234" w:rsidRDefault="00752BD9" w:rsidP="00C11726">
            <w:pPr>
              <w:pStyle w:val="Default"/>
              <w:rPr>
                <w:sz w:val="23"/>
                <w:szCs w:val="23"/>
              </w:rPr>
            </w:pPr>
            <w:r w:rsidRPr="00953EE3">
              <w:t>Деньги,  валюта, ценные  бумаги</w:t>
            </w:r>
          </w:p>
        </w:tc>
        <w:tc>
          <w:tcPr>
            <w:tcW w:w="1442" w:type="dxa"/>
          </w:tcPr>
          <w:p w14:paraId="04741322" w14:textId="77777777" w:rsidR="00A62234" w:rsidRDefault="00B02848" w:rsidP="00C11726">
            <w:pPr>
              <w:pStyle w:val="Default"/>
              <w:rPr>
                <w:sz w:val="23"/>
                <w:szCs w:val="23"/>
              </w:rPr>
            </w:pPr>
            <w:r w:rsidRPr="004555A7">
              <w:rPr>
                <w:shd w:val="clear" w:color="auto" w:fill="FFFFFF"/>
              </w:rPr>
              <w:t>Сбербанк, ВТБ</w:t>
            </w:r>
          </w:p>
        </w:tc>
      </w:tr>
      <w:tr w:rsidR="00B02848" w14:paraId="318C0F82" w14:textId="77777777" w:rsidTr="00C11726">
        <w:trPr>
          <w:trHeight w:val="247"/>
        </w:trPr>
        <w:tc>
          <w:tcPr>
            <w:tcW w:w="2235" w:type="dxa"/>
          </w:tcPr>
          <w:p w14:paraId="7142F3F4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Коммерческое (торговля) </w:t>
            </w:r>
          </w:p>
        </w:tc>
        <w:tc>
          <w:tcPr>
            <w:tcW w:w="2268" w:type="dxa"/>
          </w:tcPr>
          <w:p w14:paraId="3095D7B2" w14:textId="77777777" w:rsidR="00B02848" w:rsidRPr="00953EE3" w:rsidRDefault="00B02848" w:rsidP="00C1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3">
              <w:rPr>
                <w:rFonts w:ascii="Times New Roman" w:hAnsi="Times New Roman" w:cs="Times New Roman"/>
                <w:sz w:val="24"/>
                <w:szCs w:val="24"/>
              </w:rPr>
              <w:t>Торговые заведения, товарные биржи</w:t>
            </w:r>
          </w:p>
        </w:tc>
        <w:tc>
          <w:tcPr>
            <w:tcW w:w="1842" w:type="dxa"/>
          </w:tcPr>
          <w:p w14:paraId="7F808B78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 w:rsidRPr="00953EE3">
              <w:t>Купле-продажа товаров и услуг</w:t>
            </w:r>
          </w:p>
        </w:tc>
        <w:tc>
          <w:tcPr>
            <w:tcW w:w="1701" w:type="dxa"/>
          </w:tcPr>
          <w:p w14:paraId="01738990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 w:rsidRPr="00953EE3">
              <w:t>Товарно-денежные, торгово-обменные операции.</w:t>
            </w:r>
          </w:p>
        </w:tc>
        <w:tc>
          <w:tcPr>
            <w:tcW w:w="1442" w:type="dxa"/>
          </w:tcPr>
          <w:p w14:paraId="4870FC4E" w14:textId="77777777" w:rsidR="00B02848" w:rsidRPr="004555A7" w:rsidRDefault="00B02848" w:rsidP="00C1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Магазины "Пятерочка", Магазины "Лента"</w:t>
            </w:r>
          </w:p>
        </w:tc>
      </w:tr>
      <w:tr w:rsidR="00B02848" w14:paraId="30CDF195" w14:textId="77777777" w:rsidTr="00C11726">
        <w:trPr>
          <w:trHeight w:val="247"/>
        </w:trPr>
        <w:tc>
          <w:tcPr>
            <w:tcW w:w="2235" w:type="dxa"/>
          </w:tcPr>
          <w:p w14:paraId="653BC4FE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Бытовое обслуживание </w:t>
            </w:r>
          </w:p>
        </w:tc>
        <w:tc>
          <w:tcPr>
            <w:tcW w:w="2268" w:type="dxa"/>
          </w:tcPr>
          <w:p w14:paraId="41012B26" w14:textId="77777777" w:rsidR="00B02848" w:rsidRPr="00953EE3" w:rsidRDefault="00B02848" w:rsidP="00C1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3">
              <w:rPr>
                <w:rFonts w:ascii="Times New Roman" w:hAnsi="Times New Roman" w:cs="Times New Roman"/>
                <w:sz w:val="24"/>
                <w:szCs w:val="24"/>
              </w:rPr>
              <w:t>Оптовые сбытовые организации, маклеры, брокеры, дилеры, дистрибьюторы, биржи, коммерческие</w:t>
            </w:r>
          </w:p>
        </w:tc>
        <w:tc>
          <w:tcPr>
            <w:tcW w:w="1842" w:type="dxa"/>
          </w:tcPr>
          <w:p w14:paraId="64E139B4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 w:rsidRPr="00953EE3">
              <w:t xml:space="preserve">Предприниматель сам не производит и не продает товар, а выступает в роли посредника, связующего гнезда в процессе товарного обмена, в товарно- </w:t>
            </w:r>
            <w:r w:rsidRPr="00953EE3">
              <w:lastRenderedPageBreak/>
              <w:t>денежных операциях</w:t>
            </w:r>
          </w:p>
        </w:tc>
        <w:tc>
          <w:tcPr>
            <w:tcW w:w="1701" w:type="dxa"/>
          </w:tcPr>
          <w:p w14:paraId="2F6F939F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 w:rsidRPr="00953EE3">
              <w:lastRenderedPageBreak/>
              <w:t>Оказании услуг каждой из этих сторон</w:t>
            </w:r>
          </w:p>
        </w:tc>
        <w:tc>
          <w:tcPr>
            <w:tcW w:w="1442" w:type="dxa"/>
          </w:tcPr>
          <w:p w14:paraId="667EFD72" w14:textId="77777777" w:rsidR="00B02848" w:rsidRPr="00B02848" w:rsidRDefault="00B02848" w:rsidP="00C11726">
            <w:pPr>
              <w:pStyle w:val="Default"/>
            </w:pPr>
            <w:r w:rsidRPr="00B02848">
              <w:rPr>
                <w:bCs/>
                <w:color w:val="333333"/>
                <w:shd w:val="clear" w:color="auto" w:fill="FFFFFF"/>
              </w:rPr>
              <w:t>дилер</w:t>
            </w:r>
            <w:r w:rsidRPr="00B02848">
              <w:rPr>
                <w:color w:val="333333"/>
                <w:shd w:val="clear" w:color="auto" w:fill="FFFFFF"/>
              </w:rPr>
              <w:t> </w:t>
            </w:r>
            <w:r w:rsidRPr="00B02848">
              <w:rPr>
                <w:bCs/>
                <w:color w:val="333333"/>
                <w:shd w:val="clear" w:color="auto" w:fill="FFFFFF"/>
              </w:rPr>
              <w:t>LADA</w:t>
            </w:r>
          </w:p>
        </w:tc>
      </w:tr>
      <w:tr w:rsidR="00B02848" w14:paraId="56CCAACC" w14:textId="77777777" w:rsidTr="00C11726">
        <w:trPr>
          <w:trHeight w:val="247"/>
        </w:trPr>
        <w:tc>
          <w:tcPr>
            <w:tcW w:w="2235" w:type="dxa"/>
          </w:tcPr>
          <w:p w14:paraId="67B99B92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Страховая деятельность </w:t>
            </w:r>
          </w:p>
        </w:tc>
        <w:tc>
          <w:tcPr>
            <w:tcW w:w="2268" w:type="dxa"/>
          </w:tcPr>
          <w:p w14:paraId="569223F4" w14:textId="77777777" w:rsidR="00B02848" w:rsidRPr="00953EE3" w:rsidRDefault="00B02848" w:rsidP="00C1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E3">
              <w:rPr>
                <w:rFonts w:ascii="Times New Roman" w:hAnsi="Times New Roman" w:cs="Times New Roman"/>
                <w:sz w:val="24"/>
                <w:szCs w:val="24"/>
              </w:rPr>
              <w:t>Страховые компании</w:t>
            </w:r>
          </w:p>
        </w:tc>
        <w:tc>
          <w:tcPr>
            <w:tcW w:w="1842" w:type="dxa"/>
          </w:tcPr>
          <w:p w14:paraId="3F7A2168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 w:rsidRPr="00953EE3">
              <w:t>Получение страхового взноса, который возвращается только при наступлении страхового случая.</w:t>
            </w:r>
          </w:p>
        </w:tc>
        <w:tc>
          <w:tcPr>
            <w:tcW w:w="1701" w:type="dxa"/>
          </w:tcPr>
          <w:p w14:paraId="4B605D7C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 w:rsidRPr="00953EE3">
              <w:t>Гарантия страхователям получить компенсацию при наступлении риска в их деятельности</w:t>
            </w:r>
          </w:p>
        </w:tc>
        <w:tc>
          <w:tcPr>
            <w:tcW w:w="1442" w:type="dxa"/>
          </w:tcPr>
          <w:p w14:paraId="4AEF3B8F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 w:rsidRPr="004555A7">
              <w:rPr>
                <w:color w:val="4C4F53"/>
                <w:shd w:val="clear" w:color="auto" w:fill="FFFFFF"/>
              </w:rPr>
              <w:t>S</w:t>
            </w:r>
            <w:r w:rsidRPr="004555A7">
              <w:rPr>
                <w:shd w:val="clear" w:color="auto" w:fill="FFFFFF"/>
              </w:rPr>
              <w:t>РЕСО-Гарантия</w:t>
            </w:r>
          </w:p>
        </w:tc>
      </w:tr>
      <w:tr w:rsidR="00B02848" w14:paraId="7C4EE941" w14:textId="77777777" w:rsidTr="00C11726">
        <w:trPr>
          <w:trHeight w:val="109"/>
        </w:trPr>
        <w:tc>
          <w:tcPr>
            <w:tcW w:w="2235" w:type="dxa"/>
          </w:tcPr>
          <w:p w14:paraId="04C149C0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Туризм, спорт </w:t>
            </w:r>
          </w:p>
        </w:tc>
        <w:tc>
          <w:tcPr>
            <w:tcW w:w="2268" w:type="dxa"/>
          </w:tcPr>
          <w:p w14:paraId="063704F9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lang w:eastAsia="ru-RU"/>
              </w:rPr>
              <w:t>Туристические фирмы</w:t>
            </w:r>
          </w:p>
        </w:tc>
        <w:tc>
          <w:tcPr>
            <w:tcW w:w="1842" w:type="dxa"/>
          </w:tcPr>
          <w:p w14:paraId="07C67D1B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 w:rsidRPr="00284785">
              <w:rPr>
                <w:color w:val="000000" w:themeColor="text1"/>
                <w:shd w:val="clear" w:color="auto" w:fill="FFFFFF"/>
              </w:rPr>
              <w:t>осуществляет разнообразные спортивные, оздоровительные, рекреационные, познавательные, воспитательные, экономические и другие функции, но по ряду факторов уровень их реализации на сегодня не отвечает потенциальным возможностям туристско-спортивного движения</w:t>
            </w:r>
          </w:p>
        </w:tc>
        <w:tc>
          <w:tcPr>
            <w:tcW w:w="1701" w:type="dxa"/>
          </w:tcPr>
          <w:p w14:paraId="64BA3492" w14:textId="77777777" w:rsidR="00B02848" w:rsidRDefault="00B02848" w:rsidP="00C11726">
            <w:pPr>
              <w:pStyle w:val="Default"/>
              <w:rPr>
                <w:sz w:val="23"/>
                <w:szCs w:val="23"/>
              </w:rPr>
            </w:pPr>
            <w:r w:rsidRPr="00284785">
              <w:rPr>
                <w:color w:val="000000" w:themeColor="text1"/>
                <w:shd w:val="clear" w:color="auto" w:fill="FFFFFF"/>
              </w:rPr>
              <w:t xml:space="preserve">деятельность предприятий, организаций, учреждений или предпринимателей по удовлетворению потребностей людей в путешествиях, отдыхе и </w:t>
            </w:r>
            <w:proofErr w:type="spellStart"/>
            <w:r w:rsidRPr="00284785">
              <w:rPr>
                <w:color w:val="000000" w:themeColor="text1"/>
                <w:shd w:val="clear" w:color="auto" w:fill="FFFFFF"/>
              </w:rPr>
              <w:t>тд</w:t>
            </w:r>
            <w:proofErr w:type="spellEnd"/>
          </w:p>
        </w:tc>
        <w:tc>
          <w:tcPr>
            <w:tcW w:w="1442" w:type="dxa"/>
          </w:tcPr>
          <w:p w14:paraId="567FB4FB" w14:textId="77777777" w:rsidR="00B02848" w:rsidRPr="00B02848" w:rsidRDefault="00B02848" w:rsidP="00C11726">
            <w:pPr>
              <w:pStyle w:val="Default"/>
            </w:pPr>
            <w:r w:rsidRPr="00B02848">
              <w:rPr>
                <w:rStyle w:val="15p46jhr"/>
                <w:color w:val="262626"/>
                <w:bdr w:val="none" w:sz="0" w:space="0" w:color="auto" w:frame="1"/>
              </w:rPr>
              <w:t>FUN&amp;SUN</w:t>
            </w:r>
            <w:r w:rsidRPr="00B02848">
              <w:rPr>
                <w:rStyle w:val="15p46jhr"/>
                <w:color w:val="262626"/>
                <w:bdr w:val="none" w:sz="0" w:space="0" w:color="auto" w:frame="1"/>
                <w:shd w:val="clear" w:color="auto" w:fill="F9F9F9"/>
              </w:rPr>
              <w:t> </w:t>
            </w:r>
          </w:p>
        </w:tc>
      </w:tr>
    </w:tbl>
    <w:p w14:paraId="7A576E47" w14:textId="77777777" w:rsidR="00A62234" w:rsidRDefault="00A62234" w:rsidP="00A62234"/>
    <w:p w14:paraId="072E89D1" w14:textId="77777777" w:rsidR="00A62234" w:rsidRDefault="00A62234" w:rsidP="00A62234"/>
    <w:p w14:paraId="1F69B952" w14:textId="77777777" w:rsidR="00A62234" w:rsidRDefault="00A62234" w:rsidP="00A622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4. Особенности регулирования инновационного, социального малого и среднего предпринимательства </w:t>
      </w:r>
    </w:p>
    <w:p w14:paraId="35F74094" w14:textId="77777777" w:rsidR="00A62234" w:rsidRDefault="00A62234" w:rsidP="00A62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Инвестор рассматривает два инновационных проекта с целью вложения средств в один из них. Указанные проекты характеризуются следующими данными, представленными в таблице: </w:t>
      </w:r>
    </w:p>
    <w:tbl>
      <w:tblPr>
        <w:tblStyle w:val="a8"/>
        <w:tblW w:w="9918" w:type="dxa"/>
        <w:tblLayout w:type="fixed"/>
        <w:tblLook w:val="0000" w:firstRow="0" w:lastRow="0" w:firstColumn="0" w:lastColumn="0" w:noHBand="0" w:noVBand="0"/>
      </w:tblPr>
      <w:tblGrid>
        <w:gridCol w:w="1653"/>
        <w:gridCol w:w="1653"/>
        <w:gridCol w:w="1653"/>
        <w:gridCol w:w="1653"/>
        <w:gridCol w:w="1653"/>
        <w:gridCol w:w="1653"/>
      </w:tblGrid>
      <w:tr w:rsidR="00A62234" w14:paraId="166C4D4D" w14:textId="77777777" w:rsidTr="00C906B4">
        <w:trPr>
          <w:trHeight w:val="107"/>
        </w:trPr>
        <w:tc>
          <w:tcPr>
            <w:tcW w:w="1653" w:type="dxa"/>
          </w:tcPr>
          <w:p w14:paraId="697533AC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 1 – Данные по проектам (тыс. руб.): </w:t>
            </w:r>
            <w:r>
              <w:rPr>
                <w:b/>
                <w:bCs/>
                <w:sz w:val="23"/>
                <w:szCs w:val="23"/>
              </w:rPr>
              <w:t xml:space="preserve">Год </w:t>
            </w:r>
          </w:p>
        </w:tc>
        <w:tc>
          <w:tcPr>
            <w:tcW w:w="1653" w:type="dxa"/>
          </w:tcPr>
          <w:p w14:paraId="504C3961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</w:t>
            </w:r>
          </w:p>
        </w:tc>
        <w:tc>
          <w:tcPr>
            <w:tcW w:w="1653" w:type="dxa"/>
          </w:tcPr>
          <w:p w14:paraId="17422DA9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1653" w:type="dxa"/>
          </w:tcPr>
          <w:p w14:paraId="60DE63B1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1653" w:type="dxa"/>
          </w:tcPr>
          <w:p w14:paraId="4EA35916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1653" w:type="dxa"/>
          </w:tcPr>
          <w:p w14:paraId="6B9D8E63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</w:tr>
      <w:tr w:rsidR="00A62234" w14:paraId="4C90C5C5" w14:textId="77777777" w:rsidTr="00C906B4">
        <w:trPr>
          <w:trHeight w:val="111"/>
        </w:trPr>
        <w:tc>
          <w:tcPr>
            <w:tcW w:w="1653" w:type="dxa"/>
          </w:tcPr>
          <w:p w14:paraId="53DE34A6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 </w:t>
            </w:r>
          </w:p>
        </w:tc>
        <w:tc>
          <w:tcPr>
            <w:tcW w:w="1653" w:type="dxa"/>
          </w:tcPr>
          <w:p w14:paraId="0E96AE8E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-12 500 </w:t>
            </w:r>
          </w:p>
        </w:tc>
        <w:tc>
          <w:tcPr>
            <w:tcW w:w="1653" w:type="dxa"/>
          </w:tcPr>
          <w:p w14:paraId="45B346CA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3 300 </w:t>
            </w:r>
          </w:p>
        </w:tc>
        <w:tc>
          <w:tcPr>
            <w:tcW w:w="1653" w:type="dxa"/>
          </w:tcPr>
          <w:p w14:paraId="09AF9EFC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3 800 </w:t>
            </w:r>
          </w:p>
        </w:tc>
        <w:tc>
          <w:tcPr>
            <w:tcW w:w="1653" w:type="dxa"/>
          </w:tcPr>
          <w:p w14:paraId="3172D6BB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6 000 </w:t>
            </w:r>
          </w:p>
        </w:tc>
        <w:tc>
          <w:tcPr>
            <w:tcW w:w="1653" w:type="dxa"/>
          </w:tcPr>
          <w:p w14:paraId="1DA48BB8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6 500 </w:t>
            </w:r>
          </w:p>
        </w:tc>
      </w:tr>
      <w:tr w:rsidR="00A62234" w14:paraId="4A592290" w14:textId="77777777" w:rsidTr="00C906B4">
        <w:trPr>
          <w:trHeight w:val="111"/>
        </w:trPr>
        <w:tc>
          <w:tcPr>
            <w:tcW w:w="1653" w:type="dxa"/>
          </w:tcPr>
          <w:p w14:paraId="68FFEBAF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 </w:t>
            </w:r>
          </w:p>
        </w:tc>
        <w:tc>
          <w:tcPr>
            <w:tcW w:w="1653" w:type="dxa"/>
          </w:tcPr>
          <w:p w14:paraId="3D017F9A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-15 000 </w:t>
            </w:r>
          </w:p>
        </w:tc>
        <w:tc>
          <w:tcPr>
            <w:tcW w:w="1653" w:type="dxa"/>
          </w:tcPr>
          <w:p w14:paraId="7D89076A" w14:textId="77777777" w:rsidR="00A62234" w:rsidRDefault="00A62234" w:rsidP="00C11726">
            <w:pPr>
              <w:pStyle w:val="Default"/>
            </w:pPr>
            <w:r>
              <w:t xml:space="preserve">4 000 </w:t>
            </w:r>
          </w:p>
        </w:tc>
        <w:tc>
          <w:tcPr>
            <w:tcW w:w="1653" w:type="dxa"/>
          </w:tcPr>
          <w:p w14:paraId="0CEE70DC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5 500 </w:t>
            </w:r>
          </w:p>
        </w:tc>
        <w:tc>
          <w:tcPr>
            <w:tcW w:w="1653" w:type="dxa"/>
          </w:tcPr>
          <w:p w14:paraId="326C6B6F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6 300 </w:t>
            </w:r>
          </w:p>
        </w:tc>
        <w:tc>
          <w:tcPr>
            <w:tcW w:w="1653" w:type="dxa"/>
          </w:tcPr>
          <w:p w14:paraId="04624E0E" w14:textId="77777777" w:rsidR="00A62234" w:rsidRDefault="00A62234" w:rsidP="00C117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6 700 </w:t>
            </w:r>
          </w:p>
        </w:tc>
      </w:tr>
    </w:tbl>
    <w:p w14:paraId="588FBFFC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Ставка дисконтирования – 12</w:t>
      </w:r>
      <w:r w:rsidRPr="00C906B4">
        <w:rPr>
          <w:color w:val="000000"/>
          <w:sz w:val="28"/>
        </w:rPr>
        <w:t>%. Оценить привлекательность проектов по критериям чистого дисконтированного дохода и индекса доходности.</w:t>
      </w:r>
    </w:p>
    <w:p w14:paraId="1DC4FFF0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906B4">
        <w:rPr>
          <w:color w:val="000000"/>
          <w:sz w:val="28"/>
        </w:rPr>
        <w:lastRenderedPageBreak/>
        <w:t>,</w:t>
      </w:r>
    </w:p>
    <w:p w14:paraId="299B686A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906B4">
        <w:rPr>
          <w:color w:val="000000"/>
          <w:sz w:val="28"/>
        </w:rPr>
        <w:t>где S</w:t>
      </w:r>
      <w:r w:rsidRPr="00C906B4">
        <w:rPr>
          <w:color w:val="000000"/>
          <w:sz w:val="28"/>
          <w:vertAlign w:val="subscript"/>
        </w:rPr>
        <w:t>t</w:t>
      </w:r>
      <w:r w:rsidRPr="00C906B4">
        <w:rPr>
          <w:color w:val="000000"/>
          <w:sz w:val="28"/>
        </w:rPr>
        <w:t> – поток денежных средств в t-м году (приток денежных средств);</w:t>
      </w:r>
    </w:p>
    <w:p w14:paraId="4A017643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906B4">
        <w:rPr>
          <w:color w:val="000000"/>
          <w:sz w:val="28"/>
        </w:rPr>
        <w:t>I</w:t>
      </w:r>
      <w:r w:rsidRPr="00C906B4">
        <w:rPr>
          <w:color w:val="000000"/>
          <w:sz w:val="28"/>
          <w:vertAlign w:val="subscript"/>
        </w:rPr>
        <w:t>0</w:t>
      </w:r>
      <w:r w:rsidRPr="00C906B4">
        <w:rPr>
          <w:color w:val="000000"/>
          <w:sz w:val="28"/>
        </w:rPr>
        <w:t> – инвестиции (отток денежных средств в 0-м году);</w:t>
      </w:r>
    </w:p>
    <w:p w14:paraId="3522B451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proofErr w:type="spellStart"/>
      <w:r w:rsidRPr="00C906B4">
        <w:rPr>
          <w:color w:val="000000"/>
          <w:sz w:val="28"/>
        </w:rPr>
        <w:t>С</w:t>
      </w:r>
      <w:r w:rsidRPr="00C906B4">
        <w:rPr>
          <w:color w:val="000000"/>
          <w:sz w:val="28"/>
          <w:vertAlign w:val="subscript"/>
        </w:rPr>
        <w:t>t</w:t>
      </w:r>
      <w:proofErr w:type="spellEnd"/>
      <w:r w:rsidRPr="00C906B4">
        <w:rPr>
          <w:color w:val="000000"/>
          <w:sz w:val="28"/>
        </w:rPr>
        <w:t> – денежный поток с учетом знака;</w:t>
      </w:r>
    </w:p>
    <w:p w14:paraId="0F6C6850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906B4">
        <w:rPr>
          <w:color w:val="000000"/>
          <w:sz w:val="28"/>
        </w:rPr>
        <w:t>r – ставка дисконта.</w:t>
      </w:r>
    </w:p>
    <w:p w14:paraId="4CEA7338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А: NPV=3300*1/(1+0,12</w:t>
      </w:r>
      <w:r w:rsidRPr="00C906B4">
        <w:rPr>
          <w:color w:val="000000"/>
          <w:sz w:val="28"/>
        </w:rPr>
        <w:t>)</w:t>
      </w:r>
      <w:r w:rsidRPr="00C906B4"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</w:rPr>
        <w:t>+3800*1/(1+0,12</w:t>
      </w:r>
      <w:r w:rsidRPr="00C906B4">
        <w:rPr>
          <w:color w:val="000000"/>
          <w:sz w:val="28"/>
        </w:rPr>
        <w:t>)</w:t>
      </w:r>
      <w:r w:rsidRPr="00C906B4"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>+6000*1/(1+0,12</w:t>
      </w:r>
      <w:r w:rsidRPr="00C906B4">
        <w:rPr>
          <w:color w:val="000000"/>
          <w:sz w:val="28"/>
        </w:rPr>
        <w:t>)</w:t>
      </w:r>
      <w:r w:rsidRPr="00C906B4"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</w:rPr>
        <w:t>+6500*1/(1+0,12</w:t>
      </w:r>
      <w:r w:rsidRPr="00C906B4">
        <w:rPr>
          <w:color w:val="000000"/>
          <w:sz w:val="28"/>
        </w:rPr>
        <w:t>)</w:t>
      </w:r>
      <w:r w:rsidRPr="00C906B4">
        <w:rPr>
          <w:color w:val="000000"/>
          <w:sz w:val="28"/>
          <w:vertAlign w:val="superscript"/>
        </w:rPr>
        <w:t>4</w:t>
      </w:r>
      <w:r>
        <w:rPr>
          <w:color w:val="000000"/>
          <w:sz w:val="28"/>
        </w:rPr>
        <w:t>-12500</w:t>
      </w:r>
      <w:r w:rsidR="00DE6C5D">
        <w:rPr>
          <w:color w:val="000000"/>
          <w:sz w:val="28"/>
        </w:rPr>
        <w:t xml:space="preserve"> =14411-12500 =1911</w:t>
      </w:r>
      <w:r w:rsidRPr="00C906B4">
        <w:rPr>
          <w:color w:val="000000"/>
          <w:sz w:val="28"/>
        </w:rPr>
        <w:t xml:space="preserve"> тыс. руб.</w:t>
      </w:r>
    </w:p>
    <w:p w14:paraId="595300FC" w14:textId="77777777" w:rsidR="00C906B4" w:rsidRPr="00C906B4" w:rsidRDefault="00DE6C5D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Б: NPV=4000*1/(1+0,12</w:t>
      </w:r>
      <w:r w:rsidR="00C906B4" w:rsidRPr="00C906B4">
        <w:rPr>
          <w:color w:val="000000"/>
          <w:sz w:val="28"/>
        </w:rPr>
        <w:t>)</w:t>
      </w:r>
      <w:r w:rsidR="00C906B4" w:rsidRPr="00C906B4"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</w:rPr>
        <w:t>+5500*1/(1+0,12</w:t>
      </w:r>
      <w:r w:rsidR="00C906B4" w:rsidRPr="00C906B4">
        <w:rPr>
          <w:color w:val="000000"/>
          <w:sz w:val="28"/>
        </w:rPr>
        <w:t>)</w:t>
      </w:r>
      <w:r w:rsidR="00C906B4" w:rsidRPr="00C906B4"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>+6300*1/(1+0,12</w:t>
      </w:r>
      <w:r w:rsidR="00C906B4" w:rsidRPr="00C906B4">
        <w:rPr>
          <w:color w:val="000000"/>
          <w:sz w:val="28"/>
        </w:rPr>
        <w:t>)</w:t>
      </w:r>
      <w:r w:rsidR="00C906B4" w:rsidRPr="00C906B4"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</w:rPr>
        <w:t>+6700*1/(1+0,12</w:t>
      </w:r>
      <w:r w:rsidR="00C906B4" w:rsidRPr="00C906B4">
        <w:rPr>
          <w:color w:val="000000"/>
          <w:sz w:val="28"/>
        </w:rPr>
        <w:t>)</w:t>
      </w:r>
      <w:r w:rsidR="00C906B4" w:rsidRPr="00C906B4">
        <w:rPr>
          <w:color w:val="000000"/>
          <w:sz w:val="28"/>
          <w:vertAlign w:val="superscript"/>
        </w:rPr>
        <w:t>4</w:t>
      </w:r>
      <w:r>
        <w:rPr>
          <w:color w:val="000000"/>
          <w:sz w:val="28"/>
        </w:rPr>
        <w:t>-15000 =16738-15000 =1738</w:t>
      </w:r>
      <w:r w:rsidR="00C906B4" w:rsidRPr="00C906B4">
        <w:rPr>
          <w:color w:val="000000"/>
          <w:sz w:val="28"/>
        </w:rPr>
        <w:t xml:space="preserve"> тыс. руб.</w:t>
      </w:r>
    </w:p>
    <w:p w14:paraId="6059B4FD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906B4">
        <w:rPr>
          <w:color w:val="000000"/>
          <w:sz w:val="28"/>
        </w:rPr>
        <w:t xml:space="preserve">Индекс доходности инвестиций (англ. PI от англ. </w:t>
      </w:r>
      <w:proofErr w:type="spellStart"/>
      <w:r w:rsidRPr="00C906B4">
        <w:rPr>
          <w:color w:val="000000"/>
          <w:sz w:val="28"/>
        </w:rPr>
        <w:t>Profitability</w:t>
      </w:r>
      <w:proofErr w:type="spellEnd"/>
      <w:r w:rsidRPr="00C906B4">
        <w:rPr>
          <w:color w:val="000000"/>
          <w:sz w:val="28"/>
        </w:rPr>
        <w:t xml:space="preserve"> Index) — рассчитывается как отношение суммы дисконтированных денежных потоков к первоначальным инвестициям</w:t>
      </w:r>
    </w:p>
    <w:p w14:paraId="6C8127E6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906B4">
        <w:rPr>
          <w:color w:val="000000"/>
          <w:sz w:val="28"/>
        </w:rPr>
        <w:t>PI / I</w:t>
      </w:r>
      <w:r w:rsidRPr="00C906B4">
        <w:rPr>
          <w:color w:val="000000"/>
          <w:sz w:val="28"/>
          <w:vertAlign w:val="subscript"/>
        </w:rPr>
        <w:t>0</w:t>
      </w:r>
      <w:r w:rsidRPr="00C906B4">
        <w:rPr>
          <w:color w:val="000000"/>
          <w:sz w:val="28"/>
        </w:rPr>
        <w:t>,</w:t>
      </w:r>
    </w:p>
    <w:p w14:paraId="31E4822A" w14:textId="77777777" w:rsidR="00C906B4" w:rsidRPr="00C906B4" w:rsidRDefault="00DE6C5D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А: PI = 14411/12500=1,153</w:t>
      </w:r>
    </w:p>
    <w:p w14:paraId="26625668" w14:textId="77777777" w:rsidR="00C906B4" w:rsidRPr="00C906B4" w:rsidRDefault="00DE6C5D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Б: PI = 16738/15000=1,11</w:t>
      </w:r>
    </w:p>
    <w:p w14:paraId="2599A2C2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906B4">
        <w:rPr>
          <w:color w:val="000000"/>
          <w:sz w:val="28"/>
        </w:rPr>
        <w:t>PI &gt; 1 — проект следует принять</w:t>
      </w:r>
    </w:p>
    <w:p w14:paraId="1205B130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906B4">
        <w:rPr>
          <w:color w:val="000000"/>
          <w:sz w:val="28"/>
        </w:rPr>
        <w:t>PI &lt; 1 — отвергнуть</w:t>
      </w:r>
    </w:p>
    <w:p w14:paraId="7F6B4790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906B4">
        <w:rPr>
          <w:color w:val="000000"/>
          <w:sz w:val="28"/>
        </w:rPr>
        <w:t>PI = 1 — ни прибыли, ни убытков</w:t>
      </w:r>
    </w:p>
    <w:p w14:paraId="51A56A4E" w14:textId="77777777" w:rsidR="00C906B4" w:rsidRPr="00C906B4" w:rsidRDefault="00C906B4" w:rsidP="00C906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906B4">
        <w:rPr>
          <w:color w:val="000000"/>
          <w:sz w:val="28"/>
        </w:rPr>
        <w:t xml:space="preserve">Таким образом, проекты </w:t>
      </w:r>
      <w:r w:rsidR="00DE6C5D">
        <w:rPr>
          <w:color w:val="000000"/>
          <w:sz w:val="28"/>
        </w:rPr>
        <w:t>приносят доход</w:t>
      </w:r>
      <w:r w:rsidRPr="00C906B4">
        <w:rPr>
          <w:color w:val="000000"/>
          <w:sz w:val="28"/>
        </w:rPr>
        <w:t>.</w:t>
      </w:r>
    </w:p>
    <w:p w14:paraId="51EC0A14" w14:textId="77777777" w:rsidR="00A62234" w:rsidRDefault="00A62234" w:rsidP="00A62234"/>
    <w:p w14:paraId="674B6FA3" w14:textId="25975C82" w:rsidR="00F346F5" w:rsidRDefault="00F346F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  <w:br w:type="page"/>
      </w:r>
    </w:p>
    <w:p w14:paraId="3AC4A4F8" w14:textId="29984335" w:rsidR="00A62234" w:rsidRDefault="00F346F5" w:rsidP="00F34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  <w:lastRenderedPageBreak/>
        <w:t>Список литературы</w:t>
      </w:r>
    </w:p>
    <w:p w14:paraId="2E54C2B9" w14:textId="77777777" w:rsidR="00F346F5" w:rsidRPr="00F346F5" w:rsidRDefault="00F346F5" w:rsidP="00F346F5">
      <w:pPr>
        <w:pStyle w:val="a9"/>
        <w:shd w:val="clear" w:color="auto" w:fill="FFFFFF"/>
        <w:spacing w:before="0" w:beforeAutospacing="0"/>
        <w:rPr>
          <w:color w:val="1D2125"/>
          <w:sz w:val="28"/>
          <w:szCs w:val="28"/>
        </w:rPr>
      </w:pPr>
      <w:bookmarkStart w:id="0" w:name="_Toc471813735"/>
      <w:r w:rsidRPr="00F346F5">
        <w:rPr>
          <w:color w:val="1D2125"/>
          <w:sz w:val="28"/>
          <w:szCs w:val="28"/>
        </w:rPr>
        <w:t xml:space="preserve">1.      Валдайцев, С.В. Малое инновационное предпринимательство : учеб. пособие / С. В. Валдайцев, Н. Н. Молчанов, К. </w:t>
      </w:r>
      <w:proofErr w:type="spellStart"/>
      <w:r w:rsidRPr="00F346F5">
        <w:rPr>
          <w:color w:val="1D2125"/>
          <w:sz w:val="28"/>
          <w:szCs w:val="28"/>
        </w:rPr>
        <w:t>Пецольдт</w:t>
      </w:r>
      <w:proofErr w:type="spellEnd"/>
      <w:r w:rsidRPr="00F346F5">
        <w:rPr>
          <w:color w:val="1D2125"/>
          <w:sz w:val="28"/>
          <w:szCs w:val="28"/>
        </w:rPr>
        <w:t>. - Москва : Проспект, 2013. - 536 с.</w:t>
      </w:r>
      <w:bookmarkEnd w:id="0"/>
    </w:p>
    <w:p w14:paraId="04BF081B" w14:textId="77777777" w:rsidR="00F346F5" w:rsidRPr="00F346F5" w:rsidRDefault="00F346F5" w:rsidP="00F346F5">
      <w:pPr>
        <w:pStyle w:val="a9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F346F5">
        <w:rPr>
          <w:color w:val="1D2125"/>
          <w:sz w:val="28"/>
          <w:szCs w:val="28"/>
        </w:rPr>
        <w:t>2.      Верников, В.А. Финансовая инфраструктура малого предпринимательства в регионах - условие диверсификации экономики : монография / В. А. Верников, Е. Е. Ермакова ; Рос. акад. предпринимательства. - Москва : Наука и образование, 2011. - 132 с.</w:t>
      </w:r>
    </w:p>
    <w:p w14:paraId="2FA69F91" w14:textId="77777777" w:rsidR="00F346F5" w:rsidRPr="00F346F5" w:rsidRDefault="00F346F5" w:rsidP="00F346F5">
      <w:pPr>
        <w:pStyle w:val="a9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F346F5">
        <w:rPr>
          <w:color w:val="1D2125"/>
          <w:sz w:val="28"/>
          <w:szCs w:val="28"/>
        </w:rPr>
        <w:t xml:space="preserve">3.      Финансовые и денежно-кредитные методы регулирования экономики: теория и практика : учеб. для магистров и для студентов вузов, обучающихся по экон. направлениям и специальностям / М. Л. Седова [и др.] ; под ред. М. А. Абрамовой, Л. И. Гончаренко, Е. В. Маркиной ; Финансовый ун-т при Правительстве РФ. - Москва : </w:t>
      </w:r>
      <w:proofErr w:type="spellStart"/>
      <w:r w:rsidRPr="00F346F5">
        <w:rPr>
          <w:color w:val="1D2125"/>
          <w:sz w:val="28"/>
          <w:szCs w:val="28"/>
        </w:rPr>
        <w:t>Юрайт</w:t>
      </w:r>
      <w:proofErr w:type="spellEnd"/>
      <w:r w:rsidRPr="00F346F5">
        <w:rPr>
          <w:color w:val="1D2125"/>
          <w:sz w:val="28"/>
          <w:szCs w:val="28"/>
        </w:rPr>
        <w:t>, 2015. - 551 с.</w:t>
      </w:r>
    </w:p>
    <w:p w14:paraId="120C7AB6" w14:textId="77777777" w:rsidR="00F346F5" w:rsidRPr="00B53464" w:rsidRDefault="00F346F5" w:rsidP="00F34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0F2F5"/>
          <w:lang w:eastAsia="ru-RU"/>
          <w14:ligatures w14:val="none"/>
        </w:rPr>
      </w:pPr>
    </w:p>
    <w:sectPr w:rsidR="00F346F5" w:rsidRPr="00B53464" w:rsidSect="00F346F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706B" w14:textId="77777777" w:rsidR="00703BE3" w:rsidRDefault="00703BE3" w:rsidP="00D04B27">
      <w:pPr>
        <w:spacing w:after="0" w:line="240" w:lineRule="auto"/>
      </w:pPr>
      <w:r>
        <w:separator/>
      </w:r>
    </w:p>
  </w:endnote>
  <w:endnote w:type="continuationSeparator" w:id="0">
    <w:p w14:paraId="463D2E43" w14:textId="77777777" w:rsidR="00703BE3" w:rsidRDefault="00703BE3" w:rsidP="00D0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326058"/>
      <w:docPartObj>
        <w:docPartGallery w:val="Page Numbers (Bottom of Page)"/>
        <w:docPartUnique/>
      </w:docPartObj>
    </w:sdtPr>
    <w:sdtContent>
      <w:p w14:paraId="7017BF53" w14:textId="2CD8F48B" w:rsidR="00F346F5" w:rsidRDefault="00F346F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F17F3" w14:textId="77777777" w:rsidR="00F346F5" w:rsidRDefault="00F346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B89E" w14:textId="77777777" w:rsidR="00703BE3" w:rsidRDefault="00703BE3" w:rsidP="00D04B27">
      <w:pPr>
        <w:spacing w:after="0" w:line="240" w:lineRule="auto"/>
      </w:pPr>
      <w:r>
        <w:separator/>
      </w:r>
    </w:p>
  </w:footnote>
  <w:footnote w:type="continuationSeparator" w:id="0">
    <w:p w14:paraId="74F6D717" w14:textId="77777777" w:rsidR="00703BE3" w:rsidRDefault="00703BE3" w:rsidP="00D04B27">
      <w:pPr>
        <w:spacing w:after="0" w:line="240" w:lineRule="auto"/>
      </w:pPr>
      <w:r>
        <w:continuationSeparator/>
      </w:r>
    </w:p>
  </w:footnote>
  <w:footnote w:id="1">
    <w:p w14:paraId="2D7B65EA" w14:textId="77777777" w:rsidR="00DE1C59" w:rsidRPr="00DE1C59" w:rsidRDefault="00DE1C59" w:rsidP="00DE1C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1C59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DE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" w:history="1">
        <w:r w:rsidRPr="00DE1C5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Федеральный закон от 24.07.2007 N 209-ФЗ (ред. от 10.07.2023) "О развитии малого и среднего предпринимательства в Российской Федерации" (с изм. и доп., вступ. в силу с 28.07.2023)</w:t>
        </w:r>
      </w:hyperlink>
    </w:p>
  </w:footnote>
  <w:footnote w:id="2">
    <w:p w14:paraId="7201988C" w14:textId="77777777" w:rsidR="00DE1C59" w:rsidRDefault="00DE1C59">
      <w:pPr>
        <w:pStyle w:val="a5"/>
      </w:pPr>
      <w:r>
        <w:rPr>
          <w:rStyle w:val="a7"/>
        </w:rPr>
        <w:footnoteRef/>
      </w:r>
      <w:r>
        <w:t xml:space="preserve"> </w:t>
      </w:r>
      <w:hyperlink r:id="rId2" w:history="1">
        <w:r>
          <w:rPr>
            <w:rStyle w:val="a3"/>
          </w:rPr>
          <w:t>https://zakon.ru/discussion/2020/4/23/mery_podderzhki_biznesa_koronavirusnye_pravila_v_zakonah</w:t>
        </w:r>
      </w:hyperlink>
    </w:p>
  </w:footnote>
  <w:footnote w:id="3">
    <w:p w14:paraId="42462B32" w14:textId="77777777" w:rsidR="00DE1C59" w:rsidRPr="00DE1C59" w:rsidRDefault="00DE1C59" w:rsidP="00DE1C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1C5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E1C59">
        <w:rPr>
          <w:rFonts w:ascii="Times New Roman" w:hAnsi="Times New Roman" w:cs="Times New Roman"/>
          <w:sz w:val="24"/>
          <w:szCs w:val="24"/>
        </w:rPr>
        <w:t xml:space="preserve"> Дудыкина, Е.Н. </w:t>
      </w:r>
      <w:r w:rsidRPr="00DE1C59">
        <w:rPr>
          <w:rFonts w:ascii="Times New Roman" w:hAnsi="Times New Roman" w:cs="Times New Roman"/>
          <w:sz w:val="24"/>
          <w:szCs w:val="24"/>
        </w:rPr>
        <w:t>Оц нка финансового риска венчурного проекта с учетом динамики и прогнозируемости его затрат. [Текст]/ Дудыкина, С.А . Коробов // Вестник Волгоградского государственного ар итектурностроителъноrо университета . 2007. Серия rуманитарные науки . Выпуск 9 (24). - 0,2/0,17 .</w:t>
      </w:r>
    </w:p>
  </w:footnote>
  <w:footnote w:id="4">
    <w:p w14:paraId="18F3EC37" w14:textId="77777777" w:rsidR="00D04B27" w:rsidRPr="00D04B27" w:rsidRDefault="00D04B27" w:rsidP="00DE1C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D04B27">
        <w:rPr>
          <w:rFonts w:ascii="Times New Roman" w:hAnsi="Times New Roman" w:cs="Times New Roman"/>
          <w:sz w:val="24"/>
          <w:szCs w:val="24"/>
        </w:rPr>
        <w:t xml:space="preserve">Горшкова Н. В., </w:t>
      </w:r>
      <w:r w:rsidRPr="00D04B27">
        <w:rPr>
          <w:rFonts w:ascii="Times New Roman" w:hAnsi="Times New Roman" w:cs="Times New Roman"/>
          <w:sz w:val="24"/>
          <w:szCs w:val="24"/>
        </w:rPr>
        <w:t>Шкарупа Е. А., Елтонцев А. В. Импортозамещение в АПК: механизм реализации и перспективы развития // Вестник Волгоградского государ</w:t>
      </w:r>
      <w:r w:rsidR="00DE1C59">
        <w:rPr>
          <w:rFonts w:ascii="Times New Roman" w:hAnsi="Times New Roman" w:cs="Times New Roman"/>
          <w:sz w:val="24"/>
          <w:szCs w:val="24"/>
        </w:rPr>
        <w:t>ственного университета. Экономи</w:t>
      </w:r>
      <w:r w:rsidRPr="00D04B27">
        <w:rPr>
          <w:rFonts w:ascii="Times New Roman" w:hAnsi="Times New Roman" w:cs="Times New Roman"/>
          <w:sz w:val="24"/>
          <w:szCs w:val="24"/>
        </w:rPr>
        <w:t>ка. – 2021. – Т. 23, № 3. – С. 63–73. – DOI: https://doi.org/10.15688/ek.jvolsu.2021.3.6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924"/>
    <w:multiLevelType w:val="hybridMultilevel"/>
    <w:tmpl w:val="5402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2531"/>
    <w:multiLevelType w:val="hybridMultilevel"/>
    <w:tmpl w:val="1DFCB8A8"/>
    <w:lvl w:ilvl="0" w:tplc="41F26E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F900BC"/>
    <w:multiLevelType w:val="hybridMultilevel"/>
    <w:tmpl w:val="92205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92710018">
    <w:abstractNumId w:val="0"/>
  </w:num>
  <w:num w:numId="2" w16cid:durableId="2130194801">
    <w:abstractNumId w:val="1"/>
  </w:num>
  <w:num w:numId="3" w16cid:durableId="168142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554"/>
    <w:rsid w:val="001C6554"/>
    <w:rsid w:val="002469D2"/>
    <w:rsid w:val="005B1F92"/>
    <w:rsid w:val="005E2E05"/>
    <w:rsid w:val="005E4222"/>
    <w:rsid w:val="00703BE3"/>
    <w:rsid w:val="00752BD9"/>
    <w:rsid w:val="00901210"/>
    <w:rsid w:val="00A62234"/>
    <w:rsid w:val="00A67070"/>
    <w:rsid w:val="00A7102D"/>
    <w:rsid w:val="00AD17CA"/>
    <w:rsid w:val="00B02848"/>
    <w:rsid w:val="00B53464"/>
    <w:rsid w:val="00C906B4"/>
    <w:rsid w:val="00D04B27"/>
    <w:rsid w:val="00DE1C59"/>
    <w:rsid w:val="00DE6C5D"/>
    <w:rsid w:val="00E005EE"/>
    <w:rsid w:val="00F346F5"/>
    <w:rsid w:val="00F4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B96C"/>
  <w15:docId w15:val="{549F86FB-CF05-4762-A574-7F2CA129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54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a3">
    <w:name w:val="Hyperlink"/>
    <w:basedOn w:val="a0"/>
    <w:uiPriority w:val="99"/>
    <w:semiHidden/>
    <w:unhideWhenUsed/>
    <w:rsid w:val="001C65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102D"/>
    <w:pPr>
      <w:ind w:left="720"/>
      <w:contextualSpacing/>
    </w:pPr>
  </w:style>
  <w:style w:type="paragraph" w:customStyle="1" w:styleId="paragraph--tt6rk">
    <w:name w:val="paragraph--tt6rk"/>
    <w:basedOn w:val="a"/>
    <w:rsid w:val="0090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D04B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04B27"/>
    <w:rPr>
      <w:kern w:val="2"/>
      <w:sz w:val="20"/>
      <w:szCs w:val="20"/>
      <w14:ligatures w14:val="standardContextual"/>
    </w:rPr>
  </w:style>
  <w:style w:type="character" w:styleId="a7">
    <w:name w:val="footnote reference"/>
    <w:basedOn w:val="a0"/>
    <w:uiPriority w:val="99"/>
    <w:semiHidden/>
    <w:unhideWhenUsed/>
    <w:rsid w:val="00D04B27"/>
    <w:rPr>
      <w:vertAlign w:val="superscript"/>
    </w:rPr>
  </w:style>
  <w:style w:type="table" w:styleId="a8">
    <w:name w:val="Table Grid"/>
    <w:basedOn w:val="a1"/>
    <w:uiPriority w:val="39"/>
    <w:rsid w:val="00A6223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p46jhr">
    <w:name w:val="_15p46jhr"/>
    <w:basedOn w:val="a0"/>
    <w:rsid w:val="00B02848"/>
  </w:style>
  <w:style w:type="paragraph" w:styleId="a9">
    <w:name w:val="Normal (Web)"/>
    <w:basedOn w:val="a"/>
    <w:uiPriority w:val="99"/>
    <w:semiHidden/>
    <w:unhideWhenUsed/>
    <w:rsid w:val="00C9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header"/>
    <w:basedOn w:val="a"/>
    <w:link w:val="ab"/>
    <w:uiPriority w:val="99"/>
    <w:unhideWhenUsed/>
    <w:rsid w:val="00F3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46F5"/>
    <w:rPr>
      <w:kern w:val="2"/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F3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46F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21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akon.ru/discussion/2020/4/23/mery_podderzhki_biznesa_koronavirusnye_pravila_v_zakonah" TargetMode="External"/><Relationship Id="rId1" Type="http://schemas.openxmlformats.org/officeDocument/2006/relationships/hyperlink" Target="https://www.consultant.ru/document/cons_doc_LAW_521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B35D-555F-447C-893A-C3EC564C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</dc:creator>
  <cp:lastModifiedBy>Ilya Kochegarov</cp:lastModifiedBy>
  <cp:revision>5</cp:revision>
  <dcterms:created xsi:type="dcterms:W3CDTF">2023-11-20T16:47:00Z</dcterms:created>
  <dcterms:modified xsi:type="dcterms:W3CDTF">2023-11-20T17:54:00Z</dcterms:modified>
</cp:coreProperties>
</file>