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2F6185">
      <w:pPr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 xml:space="preserve">1. </w:t>
      </w:r>
      <w:r w:rsidRPr="00A23E39">
        <w:rPr>
          <w:color w:val="000000" w:themeColor="text1"/>
          <w:lang w:eastAsia="zh-CN"/>
        </w:rPr>
        <w:t>Совреме</w:t>
      </w:r>
      <w:r>
        <w:rPr>
          <w:color w:val="000000" w:themeColor="text1"/>
          <w:lang w:eastAsia="zh-CN"/>
        </w:rPr>
        <w:t>нные информационные технологии реферат 15стр темы в файле</w:t>
      </w:r>
    </w:p>
    <w:p w:rsidR="002F6185" w:rsidRDefault="002F6185">
      <w:pPr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>2. реферат на тему любую из</w:t>
      </w:r>
    </w:p>
    <w:p w:rsidR="002F6185" w:rsidRDefault="002F6185">
      <w:pPr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>15стр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Режимы работы электроэнергетических систем и средства управления ими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Оборудование и технические средства передачи электроэнергии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Понятие качества электрической энергии и управления им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Принципы регулирования напряжения и реактивной мощности в электрических сетях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Силовые трансформаторы и автотрансформаторы электроэнергетических систем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Силовая коммутационная аппаратура в электроэнергетических системах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Применение электрических машин в системах электроэнергетики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Аварийные режимы электроэнергетических систем и меры борьбы с ними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Электрические станции электроэнергетических систем</w:t>
      </w:r>
    </w:p>
    <w:p w:rsidR="002F6185" w:rsidRPr="002F6185" w:rsidRDefault="002F6185" w:rsidP="002F61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</w:pPr>
      <w:r w:rsidRPr="002F6185">
        <w:rPr>
          <w:rFonts w:ascii="Segoe UI" w:eastAsia="Times New Roman" w:hAnsi="Segoe UI" w:cs="Segoe UI"/>
          <w:color w:val="1D2125"/>
          <w:sz w:val="23"/>
          <w:szCs w:val="23"/>
          <w:lang w:eastAsia="ru-RU"/>
        </w:rPr>
        <w:t>Нетрадиционные и возобновляемые источники энергии</w:t>
      </w:r>
    </w:p>
    <w:p w:rsidR="002F6185" w:rsidRDefault="002F6185">
      <w:bookmarkStart w:id="0" w:name="_GoBack"/>
      <w:bookmarkEnd w:id="0"/>
    </w:p>
    <w:sectPr w:rsidR="002F6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F4F9E"/>
    <w:multiLevelType w:val="multilevel"/>
    <w:tmpl w:val="68609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185"/>
    <w:rsid w:val="00087BEA"/>
    <w:rsid w:val="002F6185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898F3-3715-4EF3-B92D-36208A2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5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2024-01-30T07:04:00Z</dcterms:created>
  <dcterms:modified xsi:type="dcterms:W3CDTF">2024-01-30T07:12:00Z</dcterms:modified>
</cp:coreProperties>
</file>