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6923" w14:textId="7DFD1152" w:rsidR="00A93A07" w:rsidRDefault="00A93A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672"/>
      </w:tblGrid>
      <w:tr w:rsidR="00AF742E" w:rsidRPr="00A93A07" w14:paraId="5D38C63D" w14:textId="77777777" w:rsidTr="00AF742E">
        <w:tc>
          <w:tcPr>
            <w:tcW w:w="846" w:type="dxa"/>
          </w:tcPr>
          <w:p w14:paraId="3F297531" w14:textId="3E1A0977" w:rsidR="00AF742E" w:rsidRPr="00A93A07" w:rsidRDefault="00AF742E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827" w:type="dxa"/>
          </w:tcPr>
          <w:p w14:paraId="23F88931" w14:textId="0EA731AD" w:rsidR="00AF742E" w:rsidRPr="00A93A07" w:rsidRDefault="00AF742E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72" w:type="dxa"/>
          </w:tcPr>
          <w:p w14:paraId="10B3CFD5" w14:textId="7E1CD4E6" w:rsidR="00AF742E" w:rsidRPr="00A93A07" w:rsidRDefault="00AF742E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реферата</w:t>
            </w:r>
          </w:p>
        </w:tc>
      </w:tr>
      <w:tr w:rsidR="00AF742E" w:rsidRPr="00A93A07" w14:paraId="4888DD73" w14:textId="77777777" w:rsidTr="00AF742E">
        <w:tc>
          <w:tcPr>
            <w:tcW w:w="846" w:type="dxa"/>
          </w:tcPr>
          <w:p w14:paraId="6DE0188F" w14:textId="07E9EBFB" w:rsidR="00AF742E" w:rsidRPr="00A93A07" w:rsidRDefault="00AF742E" w:rsidP="00AF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61A0446" w14:textId="3481AD3F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4672" w:type="dxa"/>
          </w:tcPr>
          <w:p w14:paraId="0F22E3C6" w14:textId="48294FD6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Служба внешней разведки</w:t>
            </w:r>
          </w:p>
        </w:tc>
      </w:tr>
      <w:tr w:rsidR="00AF742E" w:rsidRPr="00A93A07" w14:paraId="76181EB0" w14:textId="77777777" w:rsidTr="00AF742E">
        <w:tc>
          <w:tcPr>
            <w:tcW w:w="846" w:type="dxa"/>
          </w:tcPr>
          <w:p w14:paraId="2FFB4A48" w14:textId="340EB62E" w:rsidR="00AF742E" w:rsidRPr="00A93A07" w:rsidRDefault="00AF742E" w:rsidP="00AF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45A4594C" w14:textId="491B1B83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4672" w:type="dxa"/>
          </w:tcPr>
          <w:p w14:paraId="4D028E40" w14:textId="2BDF8602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Право частной собственности юридических лиц</w:t>
            </w:r>
          </w:p>
        </w:tc>
      </w:tr>
      <w:tr w:rsidR="00AF742E" w:rsidRPr="00A93A07" w14:paraId="650DE6CA" w14:textId="77777777" w:rsidTr="00AF742E">
        <w:tc>
          <w:tcPr>
            <w:tcW w:w="846" w:type="dxa"/>
          </w:tcPr>
          <w:p w14:paraId="599A5F75" w14:textId="336FCCD1" w:rsidR="00AF742E" w:rsidRPr="00A93A07" w:rsidRDefault="00AF742E" w:rsidP="00AF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165E464B" w14:textId="565D6FE4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Предпринимательское право</w:t>
            </w:r>
          </w:p>
        </w:tc>
        <w:tc>
          <w:tcPr>
            <w:tcW w:w="4672" w:type="dxa"/>
          </w:tcPr>
          <w:p w14:paraId="39BB6491" w14:textId="06D8385E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Правовой статус индивидуального предпринимателя.</w:t>
            </w:r>
          </w:p>
        </w:tc>
      </w:tr>
      <w:tr w:rsidR="00AF742E" w:rsidRPr="00A93A07" w14:paraId="360AB184" w14:textId="77777777" w:rsidTr="00AF742E">
        <w:tc>
          <w:tcPr>
            <w:tcW w:w="846" w:type="dxa"/>
          </w:tcPr>
          <w:p w14:paraId="2EECA5C4" w14:textId="63113A0D" w:rsidR="00AF742E" w:rsidRPr="00A93A07" w:rsidRDefault="00AF742E" w:rsidP="00AF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615BC499" w14:textId="124CFF59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</w:t>
            </w:r>
          </w:p>
        </w:tc>
        <w:tc>
          <w:tcPr>
            <w:tcW w:w="4672" w:type="dxa"/>
          </w:tcPr>
          <w:p w14:paraId="18920D08" w14:textId="3147EB13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Роль и значение культурно-исторических факторов в образовании и воспитании</w:t>
            </w:r>
          </w:p>
        </w:tc>
      </w:tr>
      <w:tr w:rsidR="00AF742E" w:rsidRPr="00A93A07" w14:paraId="44D0B995" w14:textId="77777777" w:rsidTr="00AF742E">
        <w:tc>
          <w:tcPr>
            <w:tcW w:w="846" w:type="dxa"/>
          </w:tcPr>
          <w:p w14:paraId="64D32CAD" w14:textId="26ECF38B" w:rsidR="00AF742E" w:rsidRPr="00A93A07" w:rsidRDefault="00AF742E" w:rsidP="00AF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5348E4FA" w14:textId="47A01F07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</w:tc>
        <w:tc>
          <w:tcPr>
            <w:tcW w:w="4672" w:type="dxa"/>
          </w:tcPr>
          <w:p w14:paraId="2E85245C" w14:textId="2E655F55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Понятие и причины возникновения трудовых споров.</w:t>
            </w:r>
          </w:p>
        </w:tc>
      </w:tr>
      <w:tr w:rsidR="00AF742E" w:rsidRPr="00A93A07" w14:paraId="53E3DE32" w14:textId="77777777" w:rsidTr="00AF742E">
        <w:tc>
          <w:tcPr>
            <w:tcW w:w="846" w:type="dxa"/>
          </w:tcPr>
          <w:p w14:paraId="23659803" w14:textId="6B47E7C5" w:rsidR="00AF742E" w:rsidRPr="00A93A07" w:rsidRDefault="00AF742E" w:rsidP="00AF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166C7301" w14:textId="1465E096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4672" w:type="dxa"/>
          </w:tcPr>
          <w:p w14:paraId="5984BA17" w14:textId="3F06F4DA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Типичные ошибки при квалификации преступлений в сфере экономической деятельности</w:t>
            </w:r>
          </w:p>
        </w:tc>
      </w:tr>
      <w:tr w:rsidR="00AF742E" w:rsidRPr="00A93A07" w14:paraId="7A6DA293" w14:textId="77777777" w:rsidTr="00AF742E">
        <w:tc>
          <w:tcPr>
            <w:tcW w:w="846" w:type="dxa"/>
          </w:tcPr>
          <w:p w14:paraId="174489F2" w14:textId="40936D53" w:rsidR="00AF742E" w:rsidRPr="00A93A07" w:rsidRDefault="00AF742E" w:rsidP="00AF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67CFF5D5" w14:textId="0B856370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Уголовно-исполнительное право</w:t>
            </w:r>
          </w:p>
        </w:tc>
        <w:tc>
          <w:tcPr>
            <w:tcW w:w="4672" w:type="dxa"/>
          </w:tcPr>
          <w:p w14:paraId="3016EC22" w14:textId="4C3FB27E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Особенности исполнения наказания в виде содержания в дисциплинарной воинской части</w:t>
            </w:r>
          </w:p>
        </w:tc>
      </w:tr>
      <w:tr w:rsidR="00AF742E" w:rsidRPr="00A93A07" w14:paraId="2FF215AC" w14:textId="77777777" w:rsidTr="00AF742E">
        <w:tc>
          <w:tcPr>
            <w:tcW w:w="846" w:type="dxa"/>
          </w:tcPr>
          <w:p w14:paraId="558CB99C" w14:textId="72D5CD42" w:rsidR="00AF742E" w:rsidRPr="00A93A07" w:rsidRDefault="00AF742E" w:rsidP="00AF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6C663E2C" w14:textId="3B6CBC9D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Уголовный процесс</w:t>
            </w:r>
          </w:p>
        </w:tc>
        <w:tc>
          <w:tcPr>
            <w:tcW w:w="4672" w:type="dxa"/>
          </w:tcPr>
          <w:p w14:paraId="296C046A" w14:textId="3E79D91C" w:rsidR="00AF742E" w:rsidRPr="00A93A07" w:rsidRDefault="00AF742E" w:rsidP="00A9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07">
              <w:rPr>
                <w:rFonts w:ascii="Times New Roman" w:hAnsi="Times New Roman" w:cs="Times New Roman"/>
                <w:sz w:val="28"/>
                <w:szCs w:val="28"/>
              </w:rPr>
              <w:t>Международное сотрудничество по уголовным делам.</w:t>
            </w:r>
          </w:p>
        </w:tc>
      </w:tr>
    </w:tbl>
    <w:p w14:paraId="152FEF02" w14:textId="77B4E969" w:rsidR="00785841" w:rsidRDefault="00785841"/>
    <w:p w14:paraId="4E175803" w14:textId="77777777" w:rsidR="00AF742E" w:rsidRDefault="00AF742E"/>
    <w:p w14:paraId="1BD2D90F" w14:textId="0EFF91FF" w:rsidR="00AF742E" w:rsidRPr="00AF742E" w:rsidRDefault="00AF742E" w:rsidP="00AF7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>Требования к реферату</w:t>
      </w:r>
    </w:p>
    <w:p w14:paraId="6EEA4BE4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>Реферат должен быть оформлен следующим образом:</w:t>
      </w:r>
    </w:p>
    <w:p w14:paraId="653F62B6" w14:textId="066BD0AE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литературу не более пяти летней давности.</w:t>
      </w:r>
    </w:p>
    <w:p w14:paraId="5FE6DD80" w14:textId="40C1C8C1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>− оглавление (план) с указанием глав и разделов, а также с нумерацией страниц;</w:t>
      </w:r>
    </w:p>
    <w:p w14:paraId="55B5C03C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 xml:space="preserve">− цитирования в тексте должны быть подтверждены сносками в списке литературы, который содержит не менее десяти наименований; </w:t>
      </w:r>
    </w:p>
    <w:p w14:paraId="6A0D7E69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 xml:space="preserve">− приложения, диаграммы, рисунки, схемы, список литературы помещаются в конце реферата; </w:t>
      </w:r>
    </w:p>
    <w:p w14:paraId="739D92AF" w14:textId="313403EE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 xml:space="preserve">− текст в компьютерном наборе должен быть выполнен на странице формата А4, 14 кеглем, через полтора интервала объемом в </w:t>
      </w:r>
      <w:r>
        <w:rPr>
          <w:rFonts w:ascii="Times New Roman" w:hAnsi="Times New Roman" w:cs="Times New Roman"/>
          <w:sz w:val="28"/>
          <w:szCs w:val="28"/>
        </w:rPr>
        <w:t>10-12</w:t>
      </w:r>
      <w:r w:rsidRPr="00AF742E">
        <w:rPr>
          <w:rFonts w:ascii="Times New Roman" w:hAnsi="Times New Roman" w:cs="Times New Roman"/>
          <w:sz w:val="28"/>
          <w:szCs w:val="28"/>
        </w:rPr>
        <w:t xml:space="preserve"> страниц. Содержание реферата должно включать: </w:t>
      </w:r>
    </w:p>
    <w:p w14:paraId="537EE52E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sym w:font="Symbol" w:char="F0B7"/>
      </w:r>
      <w:r w:rsidRPr="00AF742E">
        <w:rPr>
          <w:rFonts w:ascii="Times New Roman" w:hAnsi="Times New Roman" w:cs="Times New Roman"/>
          <w:sz w:val="28"/>
          <w:szCs w:val="28"/>
        </w:rPr>
        <w:t xml:space="preserve"> введение с четко сформулированной целью работы и ее обоснованием; введение должно содержать также и краткий обзор изученной литературы, в котором указывается взятый из того или иного источника материал, кратко анализируются изученные источники, показываются их </w:t>
      </w:r>
      <w:r w:rsidRPr="00AF742E">
        <w:rPr>
          <w:rFonts w:ascii="Times New Roman" w:hAnsi="Times New Roman" w:cs="Times New Roman"/>
          <w:sz w:val="28"/>
          <w:szCs w:val="28"/>
        </w:rPr>
        <w:lastRenderedPageBreak/>
        <w:t xml:space="preserve">сильные и слабые стороны; объем введения обычно составляют от одной до двух страниц текста (10 % от общего объема работы); исходя из всего вышеуказанного, введение необходимо писать в последнюю очередь при работе над рефератом; </w:t>
      </w:r>
    </w:p>
    <w:p w14:paraId="7AF22656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sym w:font="Symbol" w:char="F0B7"/>
      </w:r>
      <w:r w:rsidRPr="00AF742E">
        <w:rPr>
          <w:rFonts w:ascii="Times New Roman" w:hAnsi="Times New Roman" w:cs="Times New Roman"/>
          <w:sz w:val="28"/>
          <w:szCs w:val="28"/>
        </w:rPr>
        <w:t xml:space="preserve"> основное содержание, разделенное на главы, расположенные и поименованные согласно плану; в них аргументировано и логично раскрывается избранная тема в соответствии с поставленной целью; </w:t>
      </w:r>
    </w:p>
    <w:p w14:paraId="721D82E7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sym w:font="Symbol" w:char="F0B7"/>
      </w:r>
      <w:r w:rsidRPr="00AF742E">
        <w:rPr>
          <w:rFonts w:ascii="Times New Roman" w:hAnsi="Times New Roman" w:cs="Times New Roman"/>
          <w:sz w:val="28"/>
          <w:szCs w:val="28"/>
        </w:rPr>
        <w:t xml:space="preserve"> заключение, в котором отражаются теоретическое значение данной проблемы, основные выводы; </w:t>
      </w:r>
    </w:p>
    <w:p w14:paraId="699B759A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sym w:font="Symbol" w:char="F0B7"/>
      </w:r>
      <w:r w:rsidRPr="00AF742E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 и литературы, электронных ресурсов (не менее десяти наименований с обязательным использованием статей из периодических изданий). </w:t>
      </w:r>
    </w:p>
    <w:p w14:paraId="4876DF73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 xml:space="preserve">Изложение материала должно быть кратким, точным, последовательным. Необходимо употреблять термины, свойственные юридической науке, избегать непривычных или двусмысленных понятий и категорий, сложных грамматических оборотов. </w:t>
      </w:r>
    </w:p>
    <w:p w14:paraId="74FFF8E1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 xml:space="preserve">Термины, отдельные слова и словосочетания допускается заменять принятыми текстовыми сокращениями, смысл которых ясен из контекста. </w:t>
      </w:r>
    </w:p>
    <w:p w14:paraId="4679C3EC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оформлению научно-справочного аппарата и, прежде всего, подстрочных сносок (внизу страницы, под чертой). </w:t>
      </w:r>
    </w:p>
    <w:p w14:paraId="5BF4887A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>Сноска должна быть полной: с указанием фамилии и инициалов автора, названия книги, места и года ее издания, страницы, с которой взята цитата или соответствующее положение.</w:t>
      </w:r>
    </w:p>
    <w:p w14:paraId="42E64187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 xml:space="preserve">Для статей из журналов, сборников указывают фамилию и инициалы автора, название статьи, затем название журнала или сборника статей с указанием года издания и номера (или выпуска). </w:t>
      </w:r>
    </w:p>
    <w:p w14:paraId="645B2C7A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 xml:space="preserve">При ссылке на газетную статью кроме названия и года издания указывают дату. </w:t>
      </w:r>
    </w:p>
    <w:p w14:paraId="061ABE91" w14:textId="77777777" w:rsid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 xml:space="preserve">Оформляя нормативные источники, необходимо указывать полное и точное название нормативного акта, дату его принятия и редакции, а также изменений и дополнений. </w:t>
      </w:r>
    </w:p>
    <w:p w14:paraId="3010390D" w14:textId="18C62F8C" w:rsidR="00AF742E" w:rsidRPr="00AF742E" w:rsidRDefault="00AF742E" w:rsidP="00AF74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42E">
        <w:rPr>
          <w:rFonts w:ascii="Times New Roman" w:hAnsi="Times New Roman" w:cs="Times New Roman"/>
          <w:sz w:val="28"/>
          <w:szCs w:val="28"/>
        </w:rPr>
        <w:t>При этом обязательными являются название, год, номер и статья официального издания, где был опубликован нормативный акт.</w:t>
      </w:r>
    </w:p>
    <w:sectPr w:rsidR="00AF742E" w:rsidRPr="00AF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02"/>
    <w:rsid w:val="00785841"/>
    <w:rsid w:val="00A93A07"/>
    <w:rsid w:val="00AF742E"/>
    <w:rsid w:val="00E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A325"/>
  <w15:chartTrackingRefBased/>
  <w15:docId w15:val="{5BBCAB6B-B06F-4334-B9DE-DF9BA8CB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Чернушко</dc:creator>
  <cp:keywords/>
  <dc:description/>
  <cp:lastModifiedBy>Оксана Чернушко</cp:lastModifiedBy>
  <cp:revision>5</cp:revision>
  <dcterms:created xsi:type="dcterms:W3CDTF">2023-12-29T15:43:00Z</dcterms:created>
  <dcterms:modified xsi:type="dcterms:W3CDTF">2023-12-29T15:58:00Z</dcterms:modified>
</cp:coreProperties>
</file>