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72896" w14:textId="557FB780" w:rsidR="005A7E97" w:rsidRDefault="00F75AC1">
      <w:r>
        <w:rPr>
          <w:noProof/>
        </w:rPr>
        <w:drawing>
          <wp:inline distT="0" distB="0" distL="0" distR="0" wp14:anchorId="1FAF8F41" wp14:editId="5DF31E52">
            <wp:extent cx="6081467" cy="3781425"/>
            <wp:effectExtent l="0" t="0" r="0" b="0"/>
            <wp:docPr id="16903836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383612" name=""/>
                    <pic:cNvPicPr/>
                  </pic:nvPicPr>
                  <pic:blipFill rotWithShape="1">
                    <a:blip r:embed="rId4"/>
                    <a:srcRect l="25173" t="28677" r="24799" b="16241"/>
                    <a:stretch/>
                  </pic:blipFill>
                  <pic:spPr bwMode="auto">
                    <a:xfrm>
                      <a:off x="0" y="0"/>
                      <a:ext cx="6087856" cy="3785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EDFFF4" w14:textId="77777777" w:rsidR="00F75AC1" w:rsidRDefault="00F75AC1">
      <w:r w:rsidRPr="00F75AC1">
        <w:t>Вариант № 9</w:t>
      </w:r>
    </w:p>
    <w:p w14:paraId="759B1AA6" w14:textId="77777777" w:rsidR="00F75AC1" w:rsidRDefault="00F75AC1">
      <w:r w:rsidRPr="00F75AC1">
        <w:t xml:space="preserve"> 1.  Государственные закупки. Инструменты дискриминации при его размещении. </w:t>
      </w:r>
    </w:p>
    <w:p w14:paraId="5580891E" w14:textId="75811F4F" w:rsidR="00F75AC1" w:rsidRDefault="00F75AC1" w:rsidP="00F75AC1">
      <w:pPr>
        <w:jc w:val="both"/>
      </w:pPr>
      <w:r w:rsidRPr="00F75AC1">
        <w:t>2. Задача 4</w:t>
      </w:r>
    </w:p>
    <w:p w14:paraId="1E399BE2" w14:textId="0C5ABFC4" w:rsidR="00F75AC1" w:rsidRDefault="00F75AC1" w:rsidP="00F75AC1">
      <w:pPr>
        <w:jc w:val="both"/>
      </w:pPr>
      <w:r>
        <w:t>Задача 4. ЦБ и Минфин препятствуют дальнейшему укреплению рубля http://vz.ru/economy/2017/2/3/856438.htmlhttp://vz.ru/economy/2017/2/3/856438.htmlhttp://vz.ru/ economy/2017/2/3/856438.htmlhttp://vz.ru/economy/2017/2/3/856438.htmlhttp://vz.ru/economy/20 17/2/3/856438.htmlhttp://vz.ru/economy/2017/2/3/856438.htmlhttp://pluso.ru/5</w:t>
      </w:r>
    </w:p>
    <w:p w14:paraId="6A83EFB6" w14:textId="77777777" w:rsidR="00F75AC1" w:rsidRDefault="00F75AC1" w:rsidP="00F75AC1">
      <w:pPr>
        <w:jc w:val="both"/>
      </w:pPr>
      <w:r>
        <w:t xml:space="preserve"> Совет директоров Банка России на первом заседании в 2017 году принял решение сохранить ключевую ставку на уровне 10% годовых, сообщается в пресс-релизе ЦБ. Регулятор уже третий раз подряд сохраняет ставку на этом уровне. В следующий раз совет директоров ЦБ соберется для обсуждения уровня ключевой ставки 24 марта.</w:t>
      </w:r>
    </w:p>
    <w:p w14:paraId="75FBD233" w14:textId="77777777" w:rsidR="00F75AC1" w:rsidRDefault="00F75AC1" w:rsidP="00F75AC1">
      <w:pPr>
        <w:jc w:val="both"/>
      </w:pPr>
      <w:r>
        <w:t xml:space="preserve"> Экономисты ожидали такого решения, а вот бизнес-сообщество могло удивиться. Ведь макроэкономические показатели сейчас хорошие, что должно двигать Банк России к смягчению монетарной политики. Темы падения ВВП по итогам прошлом года оказались ниже, чем самые смелые прогнозы ведомств и аналитиков, – всего минут 0,2%. Инфляция по году замедлилась до 6%, а к концу января снизится до 5%. Курс рубля также сохраняет стабильность, как и относительно высокие цены на нефть. </w:t>
      </w:r>
    </w:p>
    <w:p w14:paraId="4848A897" w14:textId="267873B6" w:rsidR="00F75AC1" w:rsidRDefault="00F75AC1" w:rsidP="00F75AC1">
      <w:pPr>
        <w:jc w:val="both"/>
      </w:pPr>
      <w:r>
        <w:t xml:space="preserve">Центробанк сам признал, что инфляционные риски снизились. Уж на 0,5% ЦБ мог бы снизить ставку без проблем. Однако этого не произошло. «На планы Центробанка повлияло решение Минфина о введении нового бюджетного правила, хотя в своем релизе банк это опровергает». </w:t>
      </w:r>
    </w:p>
    <w:p w14:paraId="39BA3099" w14:textId="77777777" w:rsidR="00F75AC1" w:rsidRDefault="00F75AC1" w:rsidP="00F75AC1">
      <w:pPr>
        <w:jc w:val="both"/>
      </w:pPr>
      <w:r>
        <w:t xml:space="preserve">Ранее Минфин уже предупредил, что в феврале начнет покупать валюту на внутреннем рынке и привлечет для этого Банк России. </w:t>
      </w:r>
      <w:proofErr w:type="gramStart"/>
      <w:r>
        <w:t>Согласно бюджетному правилу</w:t>
      </w:r>
      <w:proofErr w:type="gramEnd"/>
      <w:r>
        <w:t xml:space="preserve"> Минфин будет покупать валюту при цене нефти выше заложенной в бюджете отметки в 40 долларов за баррель, а продавать валюту будут в случае, если фактические цены на нефть окажутся ниже. </w:t>
      </w:r>
    </w:p>
    <w:p w14:paraId="0727BD0A" w14:textId="58BBDA7F" w:rsidR="00F75AC1" w:rsidRDefault="00F75AC1" w:rsidP="00F75AC1">
      <w:pPr>
        <w:jc w:val="both"/>
      </w:pPr>
      <w:r>
        <w:lastRenderedPageBreak/>
        <w:t xml:space="preserve">В пятницу Минфин уточнил объемы и время начала скупки валюты. С 7 февраля и по 6 марта Минфин каждый торговый день будет скупать валюту на 6,3 млрд рублей. Ежедневные объемы операций ведомства будут эквивалентны порядка 100 млн долларов, за месяц будет куплено почти 2 млрд долларов. </w:t>
      </w:r>
    </w:p>
    <w:p w14:paraId="1A8BEB19" w14:textId="77777777" w:rsidR="00F75AC1" w:rsidRDefault="00F75AC1" w:rsidP="00F75AC1">
      <w:pPr>
        <w:jc w:val="both"/>
      </w:pPr>
      <w:r>
        <w:t xml:space="preserve"> </w:t>
      </w:r>
    </w:p>
    <w:p w14:paraId="6F8992C1" w14:textId="77777777" w:rsidR="00F75AC1" w:rsidRDefault="00F75AC1" w:rsidP="00F75AC1">
      <w:pPr>
        <w:jc w:val="both"/>
      </w:pPr>
      <w:r>
        <w:t xml:space="preserve">Вопросы. </w:t>
      </w:r>
    </w:p>
    <w:p w14:paraId="6045D065" w14:textId="71589CF0" w:rsidR="00F75AC1" w:rsidRDefault="00F75AC1" w:rsidP="00F75AC1">
      <w:pPr>
        <w:jc w:val="both"/>
      </w:pPr>
      <w:r>
        <w:t>1. Как можно охарактеризовать воздействие нового бюджетного правила Минфина РФ на курс рубля и инфляционные риски?</w:t>
      </w:r>
    </w:p>
    <w:p w14:paraId="4115B69C" w14:textId="77777777" w:rsidR="00F75AC1" w:rsidRDefault="00F75AC1" w:rsidP="00F75AC1">
      <w:pPr>
        <w:jc w:val="both"/>
      </w:pPr>
      <w:r>
        <w:t xml:space="preserve"> 2. Почему может усилиться волатильность рынков и давление на рубль в случае снижения ключевой ставки ЦБ РФ? </w:t>
      </w:r>
    </w:p>
    <w:p w14:paraId="4107E584" w14:textId="77777777" w:rsidR="00F75AC1" w:rsidRDefault="00F75AC1" w:rsidP="00F75AC1">
      <w:pPr>
        <w:jc w:val="both"/>
      </w:pPr>
      <w:r>
        <w:t>3. Каким образом на инфляцию в сложившейся ситуации может повлиять рост цен на нефть?</w:t>
      </w:r>
    </w:p>
    <w:p w14:paraId="53D77119" w14:textId="790B494C" w:rsidR="00F75AC1" w:rsidRDefault="00F75AC1" w:rsidP="00F75AC1">
      <w:pPr>
        <w:jc w:val="both"/>
      </w:pPr>
      <w:r>
        <w:t xml:space="preserve"> 4. Каковы последствия такой политики ЦБ РФ для инвестиционной активности предприятий?</w:t>
      </w:r>
    </w:p>
    <w:sectPr w:rsidR="00F7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9F"/>
    <w:rsid w:val="005A7E97"/>
    <w:rsid w:val="00EC1F9F"/>
    <w:rsid w:val="00F7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B299"/>
  <w15:chartTrackingRefBased/>
  <w15:docId w15:val="{8915144F-E3D7-4EE5-A77D-5613F536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2024-02-14T07:14:00Z</dcterms:created>
  <dcterms:modified xsi:type="dcterms:W3CDTF">2024-02-14T07:19:00Z</dcterms:modified>
</cp:coreProperties>
</file>