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841" w:rsidRPr="00597841" w:rsidRDefault="00597841" w:rsidP="00597841">
      <w:pPr>
        <w:jc w:val="both"/>
        <w:rPr>
          <w:rFonts w:ascii="Times New Roman" w:hAnsi="Times New Roman" w:cs="Times New Roman"/>
          <w:sz w:val="24"/>
          <w:szCs w:val="24"/>
        </w:rPr>
      </w:pPr>
      <w:r w:rsidRPr="00597841">
        <w:rPr>
          <w:rFonts w:ascii="Times New Roman" w:hAnsi="Times New Roman" w:cs="Times New Roman"/>
          <w:sz w:val="24"/>
          <w:szCs w:val="24"/>
        </w:rPr>
        <w:t>Задача 5</w:t>
      </w:r>
    </w:p>
    <w:p w:rsidR="00597841" w:rsidRPr="00597841" w:rsidRDefault="00597841" w:rsidP="00597841">
      <w:pPr>
        <w:jc w:val="both"/>
        <w:rPr>
          <w:rFonts w:ascii="Times New Roman" w:hAnsi="Times New Roman" w:cs="Times New Roman"/>
          <w:sz w:val="24"/>
          <w:szCs w:val="24"/>
        </w:rPr>
      </w:pPr>
      <w:r w:rsidRPr="00597841">
        <w:rPr>
          <w:rFonts w:ascii="Times New Roman" w:hAnsi="Times New Roman" w:cs="Times New Roman"/>
          <w:sz w:val="24"/>
          <w:szCs w:val="24"/>
        </w:rPr>
        <w:t>1 Оцените условия труда работника по факторам среды. Вариант задания 2-5-5-5-5 выберите из табл. 1 справочной информации. Примите, что условия труда по другим факторам среды соответствуют классу 2.   2 Наметьте конкретные мероприятия (организационные, технические, финансово-экономические) с определением необходимых затрат в денежном выражении, экономической эффективности по созданию допустимых условий труда работника и по времени устранения неблагоприятных факторов среды и процесса труда.</w:t>
      </w:r>
    </w:p>
    <w:p w:rsidR="00597841" w:rsidRDefault="00597841" w:rsidP="00597841">
      <w:pPr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(</w:t>
      </w:r>
      <w:r w:rsidRPr="008D0EEE">
        <w:rPr>
          <w:color w:val="FF0000"/>
          <w:sz w:val="28"/>
          <w:szCs w:val="28"/>
        </w:rPr>
        <w:t>Методику взять из Приказа Министерства труда и социальной защиты № 33н от 21.01.2014 г. и пользоваться только ею, не Руководством Р 2.2</w:t>
      </w:r>
      <w:r>
        <w:rPr>
          <w:color w:val="FF0000"/>
          <w:sz w:val="28"/>
          <w:szCs w:val="28"/>
        </w:rPr>
        <w:t>.</w:t>
      </w:r>
      <w:r w:rsidRPr="008D0EEE">
        <w:rPr>
          <w:color w:val="FF0000"/>
          <w:sz w:val="28"/>
          <w:szCs w:val="28"/>
        </w:rPr>
        <w:t>2006-05, который уже не применяют при специальной оценке условий труда)</w:t>
      </w:r>
      <w:r>
        <w:rPr>
          <w:color w:val="FF0000"/>
          <w:sz w:val="28"/>
          <w:szCs w:val="28"/>
        </w:rPr>
        <w:t>. Действующий норматив – только СанПиН 1.2.3685-21, который отменил все остальные вплоть до 2020 года (использовать только их!!!!!).</w:t>
      </w:r>
    </w:p>
    <w:p w:rsidR="00597841" w:rsidRPr="0016050A" w:rsidRDefault="00597841" w:rsidP="00597841">
      <w:pPr>
        <w:rPr>
          <w:rFonts w:ascii="Times New Roman" w:hAnsi="Times New Roman" w:cs="Times New Roman"/>
          <w:sz w:val="20"/>
          <w:szCs w:val="20"/>
        </w:rPr>
      </w:pPr>
    </w:p>
    <w:p w:rsidR="00625BD4" w:rsidRDefault="00597841" w:rsidP="00597841">
      <w:pPr>
        <w:pStyle w:val="a3"/>
        <w:numPr>
          <w:ilvl w:val="0"/>
          <w:numId w:val="1"/>
        </w:numPr>
      </w:pPr>
      <w:r>
        <w:t>Характер работы – бухгалтер</w:t>
      </w:r>
    </w:p>
    <w:p w:rsidR="00597841" w:rsidRDefault="00597841" w:rsidP="00597841">
      <w:pPr>
        <w:pStyle w:val="a3"/>
      </w:pPr>
      <w:r w:rsidRPr="00B4022D">
        <w:rPr>
          <w:sz w:val="24"/>
          <w:szCs w:val="24"/>
        </w:rPr>
        <w:t xml:space="preserve">Характер </w:t>
      </w:r>
      <w:r>
        <w:rPr>
          <w:sz w:val="24"/>
          <w:szCs w:val="24"/>
        </w:rPr>
        <w:t>р</w:t>
      </w:r>
      <w:r w:rsidRPr="00B4022D">
        <w:rPr>
          <w:sz w:val="24"/>
          <w:szCs w:val="24"/>
        </w:rPr>
        <w:t>аботы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(обратите внимание на то, что многие работы оцениваются только по ограниченному числу параметров (Б – освещение только по освещённости, но не КП и КЕО, В – шум по эквивалентному за 8 часовой рабочий день уровню звука 80 </w:t>
      </w:r>
      <w:proofErr w:type="spellStart"/>
      <w:r>
        <w:rPr>
          <w:color w:val="FF0000"/>
          <w:sz w:val="24"/>
          <w:szCs w:val="24"/>
        </w:rPr>
        <w:t>дБА</w:t>
      </w:r>
      <w:proofErr w:type="spellEnd"/>
      <w:r>
        <w:rPr>
          <w:color w:val="FF0000"/>
          <w:sz w:val="24"/>
          <w:szCs w:val="24"/>
        </w:rPr>
        <w:t>, да и то для мест, где имеются источники шума, вибрации, инфра- или ультразвука, Г – электромагнитные поля только если есть источники ЭМП, не включая ЭВМ, которые не считаются значимыми источниками ЭМП, а если на рабочем месте зафиксированы и заданы их значения, то их оценивают, как для любых других источников по СанПиН 1.2.3685-21, где нет разделения на 1-й и 2-й диапазон частот, как было в Р 2.2.2006-05, а эти нормы не такие «жёсткие», как ранее, Д – микроклимат только для условий нагревающего, то есть имеющего источники повышенной температуры, или охлаждающего климата, то есть имеющие источники холода)</w:t>
      </w:r>
      <w:r w:rsidRPr="00597841">
        <w:t xml:space="preserve"> </w:t>
      </w:r>
    </w:p>
    <w:p w:rsidR="00597841" w:rsidRPr="00597841" w:rsidRDefault="00597841" w:rsidP="00597841">
      <w:pPr>
        <w:pStyle w:val="a3"/>
        <w:numPr>
          <w:ilvl w:val="0"/>
          <w:numId w:val="1"/>
        </w:numPr>
      </w:pPr>
      <w:r>
        <w:t>Освещение</w:t>
      </w:r>
    </w:p>
    <w:tbl>
      <w:tblPr>
        <w:tblW w:w="3344" w:type="dxa"/>
        <w:tblInd w:w="2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8"/>
        <w:gridCol w:w="605"/>
        <w:gridCol w:w="609"/>
        <w:gridCol w:w="592"/>
      </w:tblGrid>
      <w:tr w:rsidR="00597841" w:rsidRPr="0016050A" w:rsidTr="00597841">
        <w:trPr>
          <w:trHeight w:val="80"/>
        </w:trPr>
        <w:tc>
          <w:tcPr>
            <w:tcW w:w="1538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</w:p>
        </w:tc>
        <w:tc>
          <w:tcPr>
            <w:tcW w:w="605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КЕО</w:t>
            </w:r>
          </w:p>
        </w:tc>
        <w:tc>
          <w:tcPr>
            <w:tcW w:w="609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592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КП, %</w:t>
            </w:r>
          </w:p>
        </w:tc>
      </w:tr>
      <w:tr w:rsidR="00597841" w:rsidRPr="0016050A" w:rsidTr="00597841">
        <w:trPr>
          <w:trHeight w:val="80"/>
        </w:trPr>
        <w:tc>
          <w:tcPr>
            <w:tcW w:w="1538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609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92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597841" w:rsidRDefault="00597841" w:rsidP="00597841">
      <w:pPr>
        <w:pStyle w:val="a3"/>
      </w:pPr>
    </w:p>
    <w:p w:rsidR="00597841" w:rsidRDefault="00597841" w:rsidP="00597841">
      <w:pPr>
        <w:pStyle w:val="a3"/>
        <w:numPr>
          <w:ilvl w:val="0"/>
          <w:numId w:val="1"/>
        </w:numPr>
      </w:pPr>
      <w:r>
        <w:t>Шум</w:t>
      </w:r>
    </w:p>
    <w:tbl>
      <w:tblPr>
        <w:tblW w:w="1835" w:type="dxa"/>
        <w:tblInd w:w="9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8"/>
        <w:gridCol w:w="907"/>
      </w:tblGrid>
      <w:tr w:rsidR="00597841" w:rsidRPr="0016050A" w:rsidTr="00597841">
        <w:trPr>
          <w:trHeight w:val="322"/>
        </w:trPr>
        <w:tc>
          <w:tcPr>
            <w:tcW w:w="928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Шум</w:t>
            </w:r>
          </w:p>
        </w:tc>
        <w:tc>
          <w:tcPr>
            <w:tcW w:w="907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i/>
                <w:sz w:val="20"/>
                <w:szCs w:val="20"/>
              </w:rPr>
              <w:t>L</w:t>
            </w: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r w:rsidRPr="001605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spellEnd"/>
          </w:p>
        </w:tc>
      </w:tr>
      <w:tr w:rsidR="00597841" w:rsidRPr="0016050A" w:rsidTr="00597841">
        <w:trPr>
          <w:trHeight w:val="322"/>
        </w:trPr>
        <w:tc>
          <w:tcPr>
            <w:tcW w:w="928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597841" w:rsidRDefault="00597841" w:rsidP="00597841">
      <w:pPr>
        <w:pStyle w:val="a3"/>
      </w:pPr>
    </w:p>
    <w:p w:rsidR="00597841" w:rsidRDefault="00597841" w:rsidP="00597841">
      <w:pPr>
        <w:pStyle w:val="a3"/>
        <w:numPr>
          <w:ilvl w:val="0"/>
          <w:numId w:val="1"/>
        </w:numPr>
      </w:pPr>
      <w:r>
        <w:t xml:space="preserve">Электромагнитные поля </w:t>
      </w:r>
    </w:p>
    <w:tbl>
      <w:tblPr>
        <w:tblW w:w="62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28"/>
        <w:gridCol w:w="1250"/>
        <w:gridCol w:w="1417"/>
        <w:gridCol w:w="1134"/>
      </w:tblGrid>
      <w:tr w:rsidR="00597841" w:rsidRPr="0016050A" w:rsidTr="00B04409">
        <w:trPr>
          <w:trHeight w:val="322"/>
          <w:jc w:val="center"/>
        </w:trPr>
        <w:tc>
          <w:tcPr>
            <w:tcW w:w="2428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Электромагнитные поля </w:t>
            </w:r>
          </w:p>
        </w:tc>
        <w:tc>
          <w:tcPr>
            <w:tcW w:w="1250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6050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050A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6050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II</w:t>
            </w: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В/м</w:t>
            </w:r>
          </w:p>
        </w:tc>
        <w:tc>
          <w:tcPr>
            <w:tcW w:w="1417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16050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050A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16050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II</w:t>
            </w: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нТл</w:t>
            </w:r>
            <w:proofErr w:type="spellEnd"/>
          </w:p>
        </w:tc>
        <w:tc>
          <w:tcPr>
            <w:tcW w:w="1134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</w:t>
            </w: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Вт/м</w:t>
            </w: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597841" w:rsidRPr="0016050A" w:rsidTr="00B04409">
        <w:trPr>
          <w:trHeight w:val="322"/>
          <w:jc w:val="center"/>
        </w:trPr>
        <w:tc>
          <w:tcPr>
            <w:tcW w:w="2428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36/10,2</w:t>
            </w:r>
          </w:p>
        </w:tc>
        <w:tc>
          <w:tcPr>
            <w:tcW w:w="1417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360/10</w:t>
            </w:r>
          </w:p>
        </w:tc>
        <w:tc>
          <w:tcPr>
            <w:tcW w:w="1134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597841" w:rsidRDefault="00597841" w:rsidP="00597841">
      <w:pPr>
        <w:pStyle w:val="a3"/>
        <w:rPr>
          <w:color w:val="FF0000"/>
          <w:sz w:val="24"/>
          <w:szCs w:val="24"/>
        </w:rPr>
      </w:pPr>
      <w:r w:rsidRPr="008D0EEE">
        <w:rPr>
          <w:color w:val="FF0000"/>
          <w:sz w:val="24"/>
          <w:szCs w:val="24"/>
        </w:rPr>
        <w:t>(</w:t>
      </w:r>
      <w:r w:rsidRPr="008D0EEE">
        <w:rPr>
          <w:i/>
          <w:color w:val="FF0000"/>
          <w:sz w:val="24"/>
          <w:szCs w:val="24"/>
        </w:rPr>
        <w:t>Е</w:t>
      </w:r>
      <w:r w:rsidRPr="008D0EEE">
        <w:rPr>
          <w:color w:val="FF0000"/>
          <w:sz w:val="24"/>
          <w:szCs w:val="24"/>
          <w:vertAlign w:val="subscript"/>
        </w:rPr>
        <w:t>I</w:t>
      </w:r>
      <w:r w:rsidRPr="008D0EEE">
        <w:rPr>
          <w:color w:val="FF0000"/>
          <w:sz w:val="24"/>
          <w:szCs w:val="24"/>
        </w:rPr>
        <w:t>/</w:t>
      </w:r>
      <w:r w:rsidRPr="008D0EEE">
        <w:rPr>
          <w:i/>
          <w:color w:val="FF0000"/>
          <w:sz w:val="24"/>
          <w:szCs w:val="24"/>
        </w:rPr>
        <w:t>Е</w:t>
      </w:r>
      <w:r w:rsidRPr="008D0EEE">
        <w:rPr>
          <w:color w:val="FF0000"/>
          <w:sz w:val="24"/>
          <w:szCs w:val="24"/>
          <w:vertAlign w:val="subscript"/>
        </w:rPr>
        <w:t xml:space="preserve">II </w:t>
      </w:r>
      <w:r w:rsidRPr="008D0EEE">
        <w:rPr>
          <w:color w:val="FF0000"/>
          <w:sz w:val="24"/>
          <w:szCs w:val="24"/>
        </w:rPr>
        <w:t xml:space="preserve">и </w:t>
      </w:r>
      <w:r w:rsidRPr="008D0EEE">
        <w:rPr>
          <w:i/>
          <w:color w:val="FF0000"/>
          <w:sz w:val="24"/>
          <w:szCs w:val="24"/>
        </w:rPr>
        <w:t>B</w:t>
      </w:r>
      <w:r w:rsidRPr="008D0EEE">
        <w:rPr>
          <w:color w:val="FF0000"/>
          <w:sz w:val="24"/>
          <w:szCs w:val="24"/>
          <w:vertAlign w:val="subscript"/>
        </w:rPr>
        <w:t>I</w:t>
      </w:r>
      <w:r w:rsidRPr="008D0EEE">
        <w:rPr>
          <w:color w:val="FF0000"/>
          <w:sz w:val="24"/>
          <w:szCs w:val="24"/>
        </w:rPr>
        <w:t>/</w:t>
      </w:r>
      <w:r w:rsidRPr="008D0EEE">
        <w:rPr>
          <w:i/>
          <w:color w:val="FF0000"/>
          <w:sz w:val="24"/>
          <w:szCs w:val="24"/>
        </w:rPr>
        <w:t>B</w:t>
      </w:r>
      <w:r w:rsidRPr="008D0EEE">
        <w:rPr>
          <w:color w:val="FF0000"/>
          <w:sz w:val="24"/>
          <w:szCs w:val="24"/>
          <w:vertAlign w:val="subscript"/>
        </w:rPr>
        <w:t>II</w:t>
      </w:r>
      <w:r w:rsidRPr="008D0EEE">
        <w:rPr>
          <w:color w:val="FF0000"/>
          <w:sz w:val="24"/>
          <w:szCs w:val="24"/>
        </w:rPr>
        <w:t xml:space="preserve"> – напряжённости электрического поля и индукция магнитного поля в первом (частота 5 Гц – 2 кГц и втором (2 – 400 кГц), диапазонах частот, ранее </w:t>
      </w:r>
      <w:r w:rsidRPr="008D0EEE">
        <w:rPr>
          <w:color w:val="FF0000"/>
          <w:sz w:val="24"/>
          <w:szCs w:val="24"/>
        </w:rPr>
        <w:lastRenderedPageBreak/>
        <w:t>используемых для анализа ЭМП ЭВМ)</w:t>
      </w:r>
      <w:r>
        <w:rPr>
          <w:color w:val="FF0000"/>
          <w:sz w:val="24"/>
          <w:szCs w:val="24"/>
        </w:rPr>
        <w:t xml:space="preserve"> В настоящее время таких исследований и измерений не проводят, поскольку для них нет норм, а их просто выбросили.</w:t>
      </w:r>
    </w:p>
    <w:p w:rsidR="00597841" w:rsidRPr="00597841" w:rsidRDefault="00597841" w:rsidP="00597841">
      <w:pPr>
        <w:pStyle w:val="a3"/>
        <w:numPr>
          <w:ilvl w:val="0"/>
          <w:numId w:val="1"/>
        </w:numPr>
      </w:pPr>
      <w:r w:rsidRPr="00B4022D">
        <w:rPr>
          <w:sz w:val="24"/>
          <w:szCs w:val="24"/>
        </w:rPr>
        <w:t>Микроклимат</w:t>
      </w:r>
    </w:p>
    <w:tbl>
      <w:tblPr>
        <w:tblW w:w="4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21"/>
        <w:gridCol w:w="655"/>
        <w:gridCol w:w="1561"/>
        <w:gridCol w:w="708"/>
      </w:tblGrid>
      <w:tr w:rsidR="00597841" w:rsidRPr="0016050A" w:rsidTr="00B04409">
        <w:trPr>
          <w:trHeight w:val="322"/>
          <w:jc w:val="center"/>
        </w:trPr>
        <w:tc>
          <w:tcPr>
            <w:tcW w:w="701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Микроклимат</w:t>
            </w:r>
          </w:p>
        </w:tc>
        <w:tc>
          <w:tcPr>
            <w:tcW w:w="851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842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Влажность</w:t>
            </w: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851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</w:t>
            </w: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м/с</w:t>
            </w:r>
          </w:p>
        </w:tc>
      </w:tr>
      <w:tr w:rsidR="00597841" w:rsidRPr="0016050A" w:rsidTr="00B04409">
        <w:trPr>
          <w:trHeight w:val="322"/>
          <w:jc w:val="center"/>
        </w:trPr>
        <w:tc>
          <w:tcPr>
            <w:tcW w:w="701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597841" w:rsidRPr="0016050A" w:rsidRDefault="00597841" w:rsidP="00B04409">
            <w:pPr>
              <w:ind w:left="-84"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</w:tbl>
    <w:p w:rsidR="00597841" w:rsidRDefault="00597841" w:rsidP="00597841">
      <w:pPr>
        <w:pStyle w:val="a3"/>
      </w:pPr>
    </w:p>
    <w:sectPr w:rsidR="00597841" w:rsidSect="003B7A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517D"/>
    <w:multiLevelType w:val="hybridMultilevel"/>
    <w:tmpl w:val="4A74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41"/>
    <w:rsid w:val="0020147B"/>
    <w:rsid w:val="003B7AF2"/>
    <w:rsid w:val="00597841"/>
    <w:rsid w:val="00625BD4"/>
    <w:rsid w:val="008B517B"/>
    <w:rsid w:val="00B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41E48"/>
  <w15:chartTrackingRefBased/>
  <w15:docId w15:val="{49C92871-516B-F44F-A90C-F0F6A5CF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41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147B"/>
    <w:pPr>
      <w:keepNext/>
      <w:spacing w:before="40" w:after="40" w:line="240" w:lineRule="auto"/>
      <w:outlineLvl w:val="0"/>
    </w:pPr>
    <w:rPr>
      <w:rFonts w:ascii="Times New Roman" w:eastAsia="Times New Roman" w:hAnsi="Times New Roman"/>
      <w:b/>
      <w:caps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N">
    <w:name w:val="Стиль2 TN"/>
    <w:basedOn w:val="a"/>
    <w:qFormat/>
    <w:rsid w:val="008B517B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lang w:bidi="en-US"/>
    </w:rPr>
  </w:style>
  <w:style w:type="character" w:customStyle="1" w:styleId="10">
    <w:name w:val="Заголовок 1 Знак"/>
    <w:link w:val="1"/>
    <w:uiPriority w:val="99"/>
    <w:rsid w:val="0020147B"/>
    <w:rPr>
      <w:rFonts w:ascii="Times New Roman" w:eastAsia="Times New Roman" w:hAnsi="Times New Roman"/>
      <w:b/>
      <w:caps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59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2024-05-25T13:40:00Z</dcterms:created>
  <dcterms:modified xsi:type="dcterms:W3CDTF">2024-05-25T14:21:00Z</dcterms:modified>
</cp:coreProperties>
</file>