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1A3" w:rsidRDefault="003E01A3" w:rsidP="003E01A3">
      <w:pPr>
        <w:ind w:firstLine="709"/>
        <w:jc w:val="center"/>
        <w:textAlignment w:val="baseline"/>
        <w:rPr>
          <w:rFonts w:eastAsiaTheme="minorHAnsi"/>
          <w:b/>
          <w:color w:val="000000"/>
          <w:szCs w:val="28"/>
          <w:shd w:val="clear" w:color="auto" w:fill="FFFFFF"/>
          <w:lang w:eastAsia="en-US"/>
        </w:rPr>
      </w:pPr>
      <w:r>
        <w:rPr>
          <w:rFonts w:eastAsiaTheme="minorHAnsi"/>
          <w:b/>
          <w:color w:val="000000"/>
          <w:szCs w:val="28"/>
          <w:shd w:val="clear" w:color="auto" w:fill="FFFFFF"/>
          <w:lang w:eastAsia="en-US"/>
        </w:rPr>
        <w:t>Самостоятельные задания Тема 3 ИСОконсалт.Д.</w:t>
      </w:r>
      <w:bookmarkStart w:id="0" w:name="_GoBack"/>
      <w:bookmarkEnd w:id="0"/>
    </w:p>
    <w:p w:rsidR="000255BB" w:rsidRPr="00A36F0C" w:rsidRDefault="000255BB" w:rsidP="000255BB">
      <w:pPr>
        <w:ind w:firstLine="709"/>
        <w:jc w:val="both"/>
        <w:textAlignment w:val="baseline"/>
        <w:rPr>
          <w:rFonts w:eastAsiaTheme="minorHAnsi"/>
          <w:b/>
          <w:color w:val="000000"/>
          <w:szCs w:val="28"/>
          <w:shd w:val="clear" w:color="auto" w:fill="FFFFFF"/>
          <w:lang w:eastAsia="en-US"/>
        </w:rPr>
      </w:pPr>
      <w:r w:rsidRPr="00A36F0C">
        <w:rPr>
          <w:rFonts w:eastAsiaTheme="minorHAnsi"/>
          <w:b/>
          <w:color w:val="000000"/>
          <w:szCs w:val="28"/>
          <w:shd w:val="clear" w:color="auto" w:fill="FFFFFF"/>
          <w:lang w:eastAsia="en-US"/>
        </w:rPr>
        <w:t xml:space="preserve">Задачи </w:t>
      </w:r>
      <w:r>
        <w:rPr>
          <w:rFonts w:eastAsiaTheme="minorHAnsi"/>
          <w:b/>
          <w:color w:val="000000"/>
          <w:szCs w:val="28"/>
          <w:shd w:val="clear" w:color="auto" w:fill="FFFFFF"/>
          <w:lang w:eastAsia="en-US"/>
        </w:rPr>
        <w:t>3.</w:t>
      </w:r>
      <w:r w:rsidRPr="00A36F0C">
        <w:rPr>
          <w:rFonts w:eastAsiaTheme="minorHAnsi"/>
          <w:b/>
          <w:color w:val="000000"/>
          <w:szCs w:val="28"/>
          <w:shd w:val="clear" w:color="auto" w:fill="FFFFFF"/>
          <w:lang w:eastAsia="en-US"/>
        </w:rPr>
        <w:t xml:space="preserve">1. </w:t>
      </w:r>
    </w:p>
    <w:p w:rsidR="000255BB" w:rsidRDefault="000255BB" w:rsidP="000255BB">
      <w:pPr>
        <w:ind w:firstLine="709"/>
        <w:jc w:val="both"/>
        <w:textAlignment w:val="baseline"/>
        <w:rPr>
          <w:szCs w:val="28"/>
        </w:rPr>
      </w:pPr>
      <w:r w:rsidRPr="00C31C3C">
        <w:rPr>
          <w:szCs w:val="28"/>
        </w:rPr>
        <w:t xml:space="preserve">Имеются данные по 20 фирмам </w:t>
      </w:r>
      <w:r>
        <w:rPr>
          <w:szCs w:val="28"/>
        </w:rPr>
        <w:t xml:space="preserve">трех </w:t>
      </w:r>
      <w:proofErr w:type="spellStart"/>
      <w:r>
        <w:rPr>
          <w:szCs w:val="28"/>
        </w:rPr>
        <w:t>подотраслей</w:t>
      </w:r>
      <w:proofErr w:type="spellEnd"/>
      <w:r>
        <w:rPr>
          <w:szCs w:val="28"/>
        </w:rPr>
        <w:t xml:space="preserve"> перерабатывающей промышленности о показателях объему реализуемой промышленной продукции (%):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3"/>
        <w:gridCol w:w="2363"/>
        <w:gridCol w:w="2158"/>
        <w:gridCol w:w="2271"/>
      </w:tblGrid>
      <w:tr w:rsidR="000255BB" w:rsidTr="00BC62F8">
        <w:tc>
          <w:tcPr>
            <w:tcW w:w="2553" w:type="dxa"/>
            <w:vAlign w:val="center"/>
          </w:tcPr>
          <w:p w:rsidR="000255BB" w:rsidRDefault="000255BB" w:rsidP="00BC62F8">
            <w:pPr>
              <w:jc w:val="center"/>
              <w:textAlignment w:val="baseline"/>
              <w:rPr>
                <w:szCs w:val="28"/>
              </w:rPr>
            </w:pPr>
            <w:proofErr w:type="spellStart"/>
            <w:r>
              <w:rPr>
                <w:szCs w:val="28"/>
              </w:rPr>
              <w:t>Подотрасль</w:t>
            </w:r>
            <w:proofErr w:type="spellEnd"/>
            <w:r>
              <w:rPr>
                <w:szCs w:val="28"/>
              </w:rPr>
              <w:t xml:space="preserve"> перерабатывающей промышленности</w:t>
            </w:r>
          </w:p>
        </w:tc>
        <w:tc>
          <w:tcPr>
            <w:tcW w:w="2433" w:type="dxa"/>
            <w:vAlign w:val="center"/>
          </w:tcPr>
          <w:p w:rsidR="000255BB" w:rsidRDefault="000255BB" w:rsidP="00BC62F8">
            <w:pPr>
              <w:jc w:val="center"/>
              <w:textAlignment w:val="baseline"/>
              <w:rPr>
                <w:szCs w:val="28"/>
              </w:rPr>
            </w:pPr>
            <w:r>
              <w:rPr>
                <w:szCs w:val="28"/>
              </w:rPr>
              <w:t>Показатель объема реализуемой промышленной продукции (%)</w:t>
            </w:r>
          </w:p>
        </w:tc>
        <w:tc>
          <w:tcPr>
            <w:tcW w:w="2434" w:type="dxa"/>
            <w:vAlign w:val="center"/>
          </w:tcPr>
          <w:p w:rsidR="000255BB" w:rsidRDefault="000255BB" w:rsidP="00BC62F8">
            <w:pPr>
              <w:jc w:val="center"/>
              <w:textAlignment w:val="baseline"/>
              <w:rPr>
                <w:szCs w:val="28"/>
              </w:rPr>
            </w:pPr>
            <w:r>
              <w:rPr>
                <w:szCs w:val="28"/>
              </w:rPr>
              <w:t>Тип фирмы</w:t>
            </w:r>
          </w:p>
        </w:tc>
        <w:tc>
          <w:tcPr>
            <w:tcW w:w="2434" w:type="dxa"/>
            <w:vAlign w:val="center"/>
          </w:tcPr>
          <w:p w:rsidR="000255BB" w:rsidRDefault="000255BB" w:rsidP="00BC62F8">
            <w:pPr>
              <w:jc w:val="center"/>
              <w:textAlignment w:val="baseline"/>
              <w:rPr>
                <w:szCs w:val="28"/>
              </w:rPr>
            </w:pPr>
            <w:r>
              <w:rPr>
                <w:szCs w:val="28"/>
              </w:rPr>
              <w:t>Количество фирм, ед.</w:t>
            </w:r>
          </w:p>
        </w:tc>
      </w:tr>
      <w:tr w:rsidR="000255BB" w:rsidTr="00BC62F8">
        <w:tc>
          <w:tcPr>
            <w:tcW w:w="2553" w:type="dxa"/>
            <w:vMerge w:val="restart"/>
          </w:tcPr>
          <w:p w:rsidR="000255BB" w:rsidRDefault="000255BB" w:rsidP="00BC62F8">
            <w:pPr>
              <w:jc w:val="both"/>
              <w:textAlignment w:val="baseline"/>
              <w:rPr>
                <w:szCs w:val="28"/>
              </w:rPr>
            </w:pPr>
            <w:r>
              <w:rPr>
                <w:szCs w:val="28"/>
              </w:rPr>
              <w:t>Легкая промышленность</w:t>
            </w:r>
          </w:p>
        </w:tc>
        <w:tc>
          <w:tcPr>
            <w:tcW w:w="2433" w:type="dxa"/>
          </w:tcPr>
          <w:p w:rsidR="000255BB" w:rsidRDefault="000255BB" w:rsidP="00BC62F8">
            <w:pPr>
              <w:jc w:val="center"/>
              <w:textAlignment w:val="baseline"/>
              <w:rPr>
                <w:szCs w:val="28"/>
              </w:rPr>
            </w:pPr>
            <w:r>
              <w:rPr>
                <w:szCs w:val="28"/>
              </w:rPr>
              <w:t>до 25</w:t>
            </w:r>
          </w:p>
        </w:tc>
        <w:tc>
          <w:tcPr>
            <w:tcW w:w="2434" w:type="dxa"/>
          </w:tcPr>
          <w:p w:rsidR="000255BB" w:rsidRPr="00C31C3C" w:rsidRDefault="000255BB" w:rsidP="00BC62F8">
            <w:pPr>
              <w:jc w:val="center"/>
              <w:textAlignment w:val="baseline"/>
              <w:rPr>
                <w:i/>
                <w:szCs w:val="28"/>
                <w:lang w:val="en-US"/>
              </w:rPr>
            </w:pPr>
            <w:r w:rsidRPr="00C31C3C">
              <w:rPr>
                <w:i/>
                <w:szCs w:val="28"/>
                <w:lang w:val="en-US"/>
              </w:rPr>
              <w:t>n</w:t>
            </w:r>
          </w:p>
        </w:tc>
        <w:tc>
          <w:tcPr>
            <w:tcW w:w="2434" w:type="dxa"/>
          </w:tcPr>
          <w:p w:rsidR="000255BB" w:rsidRPr="00C31C3C" w:rsidRDefault="000255BB" w:rsidP="00BC62F8">
            <w:pPr>
              <w:jc w:val="center"/>
              <w:textAlignment w:val="baseline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</w:tr>
      <w:tr w:rsidR="000255BB" w:rsidTr="00BC62F8">
        <w:tc>
          <w:tcPr>
            <w:tcW w:w="2553" w:type="dxa"/>
            <w:vMerge/>
          </w:tcPr>
          <w:p w:rsidR="000255BB" w:rsidRDefault="000255BB" w:rsidP="00BC62F8">
            <w:pPr>
              <w:jc w:val="both"/>
              <w:textAlignment w:val="baseline"/>
              <w:rPr>
                <w:szCs w:val="28"/>
              </w:rPr>
            </w:pPr>
          </w:p>
        </w:tc>
        <w:tc>
          <w:tcPr>
            <w:tcW w:w="2433" w:type="dxa"/>
          </w:tcPr>
          <w:p w:rsidR="000255BB" w:rsidRDefault="000255BB" w:rsidP="00BC62F8">
            <w:pPr>
              <w:jc w:val="center"/>
              <w:textAlignment w:val="baseline"/>
              <w:rPr>
                <w:szCs w:val="28"/>
              </w:rPr>
            </w:pPr>
            <w:r>
              <w:rPr>
                <w:szCs w:val="28"/>
              </w:rPr>
              <w:t>25-55</w:t>
            </w:r>
          </w:p>
        </w:tc>
        <w:tc>
          <w:tcPr>
            <w:tcW w:w="2434" w:type="dxa"/>
          </w:tcPr>
          <w:p w:rsidR="000255BB" w:rsidRPr="00C31C3C" w:rsidRDefault="000255BB" w:rsidP="00BC62F8">
            <w:pPr>
              <w:jc w:val="center"/>
              <w:textAlignment w:val="baseline"/>
              <w:rPr>
                <w:i/>
                <w:szCs w:val="28"/>
              </w:rPr>
            </w:pPr>
            <w:r w:rsidRPr="00C31C3C">
              <w:rPr>
                <w:i/>
                <w:szCs w:val="28"/>
              </w:rPr>
              <w:t>с</w:t>
            </w:r>
          </w:p>
        </w:tc>
        <w:tc>
          <w:tcPr>
            <w:tcW w:w="2434" w:type="dxa"/>
          </w:tcPr>
          <w:p w:rsidR="000255BB" w:rsidRPr="00C31C3C" w:rsidRDefault="000255BB" w:rsidP="00BC62F8">
            <w:pPr>
              <w:jc w:val="center"/>
              <w:textAlignment w:val="baseline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7</w:t>
            </w:r>
          </w:p>
        </w:tc>
      </w:tr>
      <w:tr w:rsidR="000255BB" w:rsidTr="00BC62F8">
        <w:tc>
          <w:tcPr>
            <w:tcW w:w="2553" w:type="dxa"/>
            <w:vMerge/>
          </w:tcPr>
          <w:p w:rsidR="000255BB" w:rsidRDefault="000255BB" w:rsidP="00BC62F8">
            <w:pPr>
              <w:jc w:val="both"/>
              <w:textAlignment w:val="baseline"/>
              <w:rPr>
                <w:szCs w:val="28"/>
              </w:rPr>
            </w:pPr>
          </w:p>
        </w:tc>
        <w:tc>
          <w:tcPr>
            <w:tcW w:w="2433" w:type="dxa"/>
          </w:tcPr>
          <w:p w:rsidR="000255BB" w:rsidRDefault="000255BB" w:rsidP="00BC62F8">
            <w:pPr>
              <w:jc w:val="center"/>
              <w:textAlignment w:val="baseline"/>
              <w:rPr>
                <w:szCs w:val="28"/>
              </w:rPr>
            </w:pPr>
            <w:r>
              <w:rPr>
                <w:szCs w:val="28"/>
              </w:rPr>
              <w:t>55 и выше</w:t>
            </w:r>
          </w:p>
        </w:tc>
        <w:tc>
          <w:tcPr>
            <w:tcW w:w="2434" w:type="dxa"/>
          </w:tcPr>
          <w:p w:rsidR="000255BB" w:rsidRPr="00C31C3C" w:rsidRDefault="000255BB" w:rsidP="00BC62F8">
            <w:pPr>
              <w:jc w:val="center"/>
              <w:textAlignment w:val="baseline"/>
              <w:rPr>
                <w:i/>
                <w:szCs w:val="28"/>
              </w:rPr>
            </w:pPr>
            <w:r w:rsidRPr="00C31C3C">
              <w:rPr>
                <w:i/>
                <w:szCs w:val="28"/>
              </w:rPr>
              <w:t>в</w:t>
            </w:r>
          </w:p>
        </w:tc>
        <w:tc>
          <w:tcPr>
            <w:tcW w:w="2434" w:type="dxa"/>
          </w:tcPr>
          <w:p w:rsidR="000255BB" w:rsidRPr="00C31C3C" w:rsidRDefault="000255BB" w:rsidP="00BC62F8">
            <w:pPr>
              <w:jc w:val="center"/>
              <w:textAlignment w:val="baseline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14</w:t>
            </w:r>
          </w:p>
        </w:tc>
      </w:tr>
      <w:tr w:rsidR="000255BB" w:rsidTr="00BC62F8">
        <w:tc>
          <w:tcPr>
            <w:tcW w:w="2553" w:type="dxa"/>
            <w:vMerge w:val="restart"/>
          </w:tcPr>
          <w:p w:rsidR="000255BB" w:rsidRDefault="000255BB" w:rsidP="00BC62F8">
            <w:pPr>
              <w:jc w:val="both"/>
              <w:textAlignment w:val="baseline"/>
              <w:rPr>
                <w:szCs w:val="28"/>
              </w:rPr>
            </w:pPr>
            <w:r>
              <w:rPr>
                <w:szCs w:val="28"/>
              </w:rPr>
              <w:t>Фармацевтическая промышленность</w:t>
            </w:r>
          </w:p>
        </w:tc>
        <w:tc>
          <w:tcPr>
            <w:tcW w:w="2433" w:type="dxa"/>
          </w:tcPr>
          <w:p w:rsidR="000255BB" w:rsidRDefault="000255BB" w:rsidP="00BC62F8">
            <w:pPr>
              <w:jc w:val="center"/>
              <w:textAlignment w:val="baseline"/>
              <w:rPr>
                <w:szCs w:val="28"/>
              </w:rPr>
            </w:pPr>
            <w:r>
              <w:rPr>
                <w:szCs w:val="28"/>
              </w:rPr>
              <w:t>до 25</w:t>
            </w:r>
          </w:p>
        </w:tc>
        <w:tc>
          <w:tcPr>
            <w:tcW w:w="2434" w:type="dxa"/>
          </w:tcPr>
          <w:p w:rsidR="000255BB" w:rsidRPr="00C31C3C" w:rsidRDefault="000255BB" w:rsidP="00BC62F8">
            <w:pPr>
              <w:jc w:val="center"/>
              <w:textAlignment w:val="baseline"/>
              <w:rPr>
                <w:i/>
                <w:szCs w:val="28"/>
                <w:lang w:val="en-US"/>
              </w:rPr>
            </w:pPr>
            <w:r w:rsidRPr="00C31C3C">
              <w:rPr>
                <w:i/>
                <w:szCs w:val="28"/>
                <w:lang w:val="en-US"/>
              </w:rPr>
              <w:t>n</w:t>
            </w:r>
          </w:p>
        </w:tc>
        <w:tc>
          <w:tcPr>
            <w:tcW w:w="2434" w:type="dxa"/>
          </w:tcPr>
          <w:p w:rsidR="000255BB" w:rsidRPr="00C31C3C" w:rsidRDefault="000255BB" w:rsidP="00BC62F8">
            <w:pPr>
              <w:jc w:val="center"/>
              <w:textAlignment w:val="baseline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13</w:t>
            </w:r>
          </w:p>
        </w:tc>
      </w:tr>
      <w:tr w:rsidR="000255BB" w:rsidTr="00BC62F8">
        <w:tc>
          <w:tcPr>
            <w:tcW w:w="2553" w:type="dxa"/>
            <w:vMerge/>
          </w:tcPr>
          <w:p w:rsidR="000255BB" w:rsidRDefault="000255BB" w:rsidP="00BC62F8">
            <w:pPr>
              <w:jc w:val="both"/>
              <w:textAlignment w:val="baseline"/>
              <w:rPr>
                <w:szCs w:val="28"/>
              </w:rPr>
            </w:pPr>
          </w:p>
        </w:tc>
        <w:tc>
          <w:tcPr>
            <w:tcW w:w="2433" w:type="dxa"/>
          </w:tcPr>
          <w:p w:rsidR="000255BB" w:rsidRDefault="000255BB" w:rsidP="00BC62F8">
            <w:pPr>
              <w:jc w:val="center"/>
              <w:textAlignment w:val="baseline"/>
              <w:rPr>
                <w:szCs w:val="28"/>
              </w:rPr>
            </w:pPr>
            <w:r>
              <w:rPr>
                <w:szCs w:val="28"/>
              </w:rPr>
              <w:t>25-55</w:t>
            </w:r>
          </w:p>
        </w:tc>
        <w:tc>
          <w:tcPr>
            <w:tcW w:w="2434" w:type="dxa"/>
          </w:tcPr>
          <w:p w:rsidR="000255BB" w:rsidRPr="00C31C3C" w:rsidRDefault="000255BB" w:rsidP="00BC62F8">
            <w:pPr>
              <w:jc w:val="center"/>
              <w:textAlignment w:val="baseline"/>
              <w:rPr>
                <w:i/>
                <w:szCs w:val="28"/>
              </w:rPr>
            </w:pPr>
            <w:r w:rsidRPr="00C31C3C">
              <w:rPr>
                <w:i/>
                <w:szCs w:val="28"/>
              </w:rPr>
              <w:t>с</w:t>
            </w:r>
          </w:p>
        </w:tc>
        <w:tc>
          <w:tcPr>
            <w:tcW w:w="2434" w:type="dxa"/>
          </w:tcPr>
          <w:p w:rsidR="000255BB" w:rsidRPr="00C31C3C" w:rsidRDefault="000255BB" w:rsidP="00BC62F8">
            <w:pPr>
              <w:jc w:val="center"/>
              <w:textAlignment w:val="baseline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35</w:t>
            </w:r>
          </w:p>
        </w:tc>
      </w:tr>
      <w:tr w:rsidR="000255BB" w:rsidTr="00BC62F8">
        <w:tc>
          <w:tcPr>
            <w:tcW w:w="2553" w:type="dxa"/>
            <w:vMerge/>
          </w:tcPr>
          <w:p w:rsidR="000255BB" w:rsidRDefault="000255BB" w:rsidP="00BC62F8">
            <w:pPr>
              <w:jc w:val="both"/>
              <w:textAlignment w:val="baseline"/>
              <w:rPr>
                <w:szCs w:val="28"/>
              </w:rPr>
            </w:pPr>
          </w:p>
        </w:tc>
        <w:tc>
          <w:tcPr>
            <w:tcW w:w="2433" w:type="dxa"/>
          </w:tcPr>
          <w:p w:rsidR="000255BB" w:rsidRDefault="000255BB" w:rsidP="00BC62F8">
            <w:pPr>
              <w:jc w:val="center"/>
              <w:textAlignment w:val="baseline"/>
              <w:rPr>
                <w:szCs w:val="28"/>
              </w:rPr>
            </w:pPr>
            <w:r>
              <w:rPr>
                <w:szCs w:val="28"/>
              </w:rPr>
              <w:t>55 и выше</w:t>
            </w:r>
          </w:p>
        </w:tc>
        <w:tc>
          <w:tcPr>
            <w:tcW w:w="2434" w:type="dxa"/>
          </w:tcPr>
          <w:p w:rsidR="000255BB" w:rsidRPr="00C31C3C" w:rsidRDefault="000255BB" w:rsidP="00BC62F8">
            <w:pPr>
              <w:jc w:val="center"/>
              <w:textAlignment w:val="baseline"/>
              <w:rPr>
                <w:i/>
                <w:szCs w:val="28"/>
              </w:rPr>
            </w:pPr>
            <w:r w:rsidRPr="00C31C3C">
              <w:rPr>
                <w:i/>
                <w:szCs w:val="28"/>
              </w:rPr>
              <w:t>в</w:t>
            </w:r>
          </w:p>
        </w:tc>
        <w:tc>
          <w:tcPr>
            <w:tcW w:w="2434" w:type="dxa"/>
          </w:tcPr>
          <w:p w:rsidR="000255BB" w:rsidRPr="00C31C3C" w:rsidRDefault="000255BB" w:rsidP="00BC62F8">
            <w:pPr>
              <w:jc w:val="center"/>
              <w:textAlignment w:val="baseline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</w:tr>
      <w:tr w:rsidR="000255BB" w:rsidTr="00BC62F8">
        <w:tc>
          <w:tcPr>
            <w:tcW w:w="2553" w:type="dxa"/>
            <w:vMerge w:val="restart"/>
          </w:tcPr>
          <w:p w:rsidR="000255BB" w:rsidRDefault="000255BB" w:rsidP="00BC62F8">
            <w:pPr>
              <w:jc w:val="both"/>
              <w:textAlignment w:val="baseline"/>
              <w:rPr>
                <w:szCs w:val="28"/>
              </w:rPr>
            </w:pPr>
            <w:r>
              <w:rPr>
                <w:szCs w:val="28"/>
              </w:rPr>
              <w:t>Химическая промышленность</w:t>
            </w:r>
          </w:p>
        </w:tc>
        <w:tc>
          <w:tcPr>
            <w:tcW w:w="2433" w:type="dxa"/>
          </w:tcPr>
          <w:p w:rsidR="000255BB" w:rsidRDefault="000255BB" w:rsidP="00BC62F8">
            <w:pPr>
              <w:jc w:val="center"/>
              <w:textAlignment w:val="baseline"/>
              <w:rPr>
                <w:szCs w:val="28"/>
              </w:rPr>
            </w:pPr>
            <w:r>
              <w:rPr>
                <w:szCs w:val="28"/>
              </w:rPr>
              <w:t>до 25</w:t>
            </w:r>
          </w:p>
        </w:tc>
        <w:tc>
          <w:tcPr>
            <w:tcW w:w="2434" w:type="dxa"/>
          </w:tcPr>
          <w:p w:rsidR="000255BB" w:rsidRPr="00C31C3C" w:rsidRDefault="000255BB" w:rsidP="00BC62F8">
            <w:pPr>
              <w:jc w:val="center"/>
              <w:textAlignment w:val="baseline"/>
              <w:rPr>
                <w:i/>
                <w:szCs w:val="28"/>
                <w:lang w:val="en-US"/>
              </w:rPr>
            </w:pPr>
            <w:r w:rsidRPr="00C31C3C">
              <w:rPr>
                <w:i/>
                <w:szCs w:val="28"/>
                <w:lang w:val="en-US"/>
              </w:rPr>
              <w:t>n</w:t>
            </w:r>
          </w:p>
        </w:tc>
        <w:tc>
          <w:tcPr>
            <w:tcW w:w="2434" w:type="dxa"/>
          </w:tcPr>
          <w:p w:rsidR="000255BB" w:rsidRPr="008E42F6" w:rsidRDefault="000255BB" w:rsidP="00BC62F8">
            <w:pPr>
              <w:jc w:val="center"/>
              <w:textAlignment w:val="baseline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28</w:t>
            </w:r>
          </w:p>
        </w:tc>
      </w:tr>
      <w:tr w:rsidR="000255BB" w:rsidTr="00BC62F8">
        <w:tc>
          <w:tcPr>
            <w:tcW w:w="2553" w:type="dxa"/>
            <w:vMerge/>
          </w:tcPr>
          <w:p w:rsidR="000255BB" w:rsidRDefault="000255BB" w:rsidP="00BC62F8">
            <w:pPr>
              <w:jc w:val="both"/>
              <w:textAlignment w:val="baseline"/>
              <w:rPr>
                <w:szCs w:val="28"/>
              </w:rPr>
            </w:pPr>
          </w:p>
        </w:tc>
        <w:tc>
          <w:tcPr>
            <w:tcW w:w="2433" w:type="dxa"/>
          </w:tcPr>
          <w:p w:rsidR="000255BB" w:rsidRDefault="000255BB" w:rsidP="00BC62F8">
            <w:pPr>
              <w:jc w:val="center"/>
              <w:textAlignment w:val="baseline"/>
              <w:rPr>
                <w:szCs w:val="28"/>
              </w:rPr>
            </w:pPr>
            <w:r>
              <w:rPr>
                <w:szCs w:val="28"/>
              </w:rPr>
              <w:t>25-55</w:t>
            </w:r>
          </w:p>
        </w:tc>
        <w:tc>
          <w:tcPr>
            <w:tcW w:w="2434" w:type="dxa"/>
          </w:tcPr>
          <w:p w:rsidR="000255BB" w:rsidRPr="00C31C3C" w:rsidRDefault="000255BB" w:rsidP="00BC62F8">
            <w:pPr>
              <w:jc w:val="center"/>
              <w:textAlignment w:val="baseline"/>
              <w:rPr>
                <w:i/>
                <w:szCs w:val="28"/>
              </w:rPr>
            </w:pPr>
            <w:r w:rsidRPr="00C31C3C">
              <w:rPr>
                <w:i/>
                <w:szCs w:val="28"/>
              </w:rPr>
              <w:t>с</w:t>
            </w:r>
          </w:p>
        </w:tc>
        <w:tc>
          <w:tcPr>
            <w:tcW w:w="2434" w:type="dxa"/>
          </w:tcPr>
          <w:p w:rsidR="000255BB" w:rsidRPr="008E42F6" w:rsidRDefault="000255BB" w:rsidP="00BC62F8">
            <w:pPr>
              <w:jc w:val="center"/>
              <w:textAlignment w:val="baseline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44</w:t>
            </w:r>
          </w:p>
        </w:tc>
      </w:tr>
      <w:tr w:rsidR="000255BB" w:rsidTr="00BC62F8">
        <w:tc>
          <w:tcPr>
            <w:tcW w:w="2553" w:type="dxa"/>
            <w:vMerge/>
          </w:tcPr>
          <w:p w:rsidR="000255BB" w:rsidRDefault="000255BB" w:rsidP="00BC62F8">
            <w:pPr>
              <w:jc w:val="both"/>
              <w:textAlignment w:val="baseline"/>
              <w:rPr>
                <w:szCs w:val="28"/>
              </w:rPr>
            </w:pPr>
          </w:p>
        </w:tc>
        <w:tc>
          <w:tcPr>
            <w:tcW w:w="2433" w:type="dxa"/>
          </w:tcPr>
          <w:p w:rsidR="000255BB" w:rsidRDefault="000255BB" w:rsidP="00BC62F8">
            <w:pPr>
              <w:jc w:val="center"/>
              <w:textAlignment w:val="baseline"/>
              <w:rPr>
                <w:szCs w:val="28"/>
              </w:rPr>
            </w:pPr>
            <w:r>
              <w:rPr>
                <w:szCs w:val="28"/>
              </w:rPr>
              <w:t>55 и выше</w:t>
            </w:r>
          </w:p>
        </w:tc>
        <w:tc>
          <w:tcPr>
            <w:tcW w:w="2434" w:type="dxa"/>
          </w:tcPr>
          <w:p w:rsidR="000255BB" w:rsidRPr="00C31C3C" w:rsidRDefault="000255BB" w:rsidP="00BC62F8">
            <w:pPr>
              <w:jc w:val="center"/>
              <w:textAlignment w:val="baseline"/>
              <w:rPr>
                <w:i/>
                <w:szCs w:val="28"/>
              </w:rPr>
            </w:pPr>
            <w:r w:rsidRPr="00C31C3C">
              <w:rPr>
                <w:i/>
                <w:szCs w:val="28"/>
              </w:rPr>
              <w:t>в</w:t>
            </w:r>
          </w:p>
        </w:tc>
        <w:tc>
          <w:tcPr>
            <w:tcW w:w="2434" w:type="dxa"/>
          </w:tcPr>
          <w:p w:rsidR="000255BB" w:rsidRPr="008E42F6" w:rsidRDefault="000255BB" w:rsidP="00BC62F8">
            <w:pPr>
              <w:jc w:val="center"/>
              <w:textAlignment w:val="baseline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11</w:t>
            </w:r>
          </w:p>
        </w:tc>
      </w:tr>
    </w:tbl>
    <w:p w:rsidR="000255BB" w:rsidRDefault="000255BB" w:rsidP="000255BB">
      <w:pPr>
        <w:ind w:firstLine="709"/>
        <w:jc w:val="both"/>
        <w:textAlignment w:val="baseline"/>
        <w:rPr>
          <w:szCs w:val="28"/>
        </w:rPr>
      </w:pPr>
      <w:r>
        <w:rPr>
          <w:szCs w:val="28"/>
        </w:rPr>
        <w:t>Консультанту необходимо выполнить типологическую группировку, выделив три группы фирм по уровню объема реализованной промышленной продукции.</w:t>
      </w:r>
    </w:p>
    <w:p w:rsidR="002F3DA0" w:rsidRDefault="002F3DA0"/>
    <w:p w:rsidR="000255BB" w:rsidRDefault="000255BB" w:rsidP="000255BB">
      <w:pPr>
        <w:shd w:val="clear" w:color="auto" w:fill="FFFFFF"/>
        <w:spacing w:line="276" w:lineRule="auto"/>
        <w:ind w:firstLine="709"/>
        <w:jc w:val="both"/>
        <w:rPr>
          <w:b/>
          <w:bCs/>
          <w:color w:val="000000"/>
          <w:szCs w:val="28"/>
        </w:rPr>
      </w:pPr>
      <w:r w:rsidRPr="00736F68">
        <w:rPr>
          <w:b/>
          <w:bCs/>
          <w:color w:val="000000"/>
          <w:szCs w:val="28"/>
        </w:rPr>
        <w:t xml:space="preserve">Задача </w:t>
      </w:r>
      <w:r>
        <w:rPr>
          <w:b/>
          <w:bCs/>
          <w:color w:val="000000"/>
          <w:szCs w:val="28"/>
        </w:rPr>
        <w:t>3.</w:t>
      </w:r>
      <w:r>
        <w:rPr>
          <w:b/>
          <w:bCs/>
          <w:color w:val="000000"/>
          <w:szCs w:val="28"/>
        </w:rPr>
        <w:t>2</w:t>
      </w:r>
      <w:r w:rsidRPr="00736F68">
        <w:rPr>
          <w:b/>
          <w:bCs/>
          <w:color w:val="000000"/>
          <w:szCs w:val="28"/>
        </w:rPr>
        <w:t>. </w:t>
      </w:r>
    </w:p>
    <w:p w:rsidR="000255BB" w:rsidRDefault="000255BB" w:rsidP="000255BB">
      <w:pPr>
        <w:ind w:firstLine="709"/>
        <w:jc w:val="both"/>
        <w:textAlignment w:val="baseline"/>
        <w:rPr>
          <w:szCs w:val="28"/>
        </w:rPr>
      </w:pPr>
      <w:r w:rsidRPr="00496C8B">
        <w:rPr>
          <w:szCs w:val="28"/>
        </w:rPr>
        <w:t xml:space="preserve">Консультанту </w:t>
      </w:r>
      <w:r>
        <w:rPr>
          <w:szCs w:val="28"/>
        </w:rPr>
        <w:t>исследовать работу порта за год. Имеются следующая информация о перевезенных грузах по месяцам 2018 года, тыс. тонн: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6"/>
        <w:gridCol w:w="917"/>
        <w:gridCol w:w="570"/>
        <w:gridCol w:w="799"/>
        <w:gridCol w:w="570"/>
        <w:gridCol w:w="676"/>
        <w:gridCol w:w="669"/>
        <w:gridCol w:w="764"/>
        <w:gridCol w:w="982"/>
        <w:gridCol w:w="894"/>
        <w:gridCol w:w="815"/>
        <w:gridCol w:w="893"/>
      </w:tblGrid>
      <w:tr w:rsidR="000255BB" w:rsidRPr="003776FE" w:rsidTr="00BC62F8">
        <w:tc>
          <w:tcPr>
            <w:tcW w:w="905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 w:rsidRPr="003776FE">
              <w:rPr>
                <w:sz w:val="21"/>
                <w:szCs w:val="21"/>
              </w:rPr>
              <w:t>январь</w:t>
            </w:r>
          </w:p>
        </w:tc>
        <w:tc>
          <w:tcPr>
            <w:tcW w:w="1048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 w:rsidRPr="003776FE">
              <w:rPr>
                <w:sz w:val="21"/>
                <w:szCs w:val="21"/>
              </w:rPr>
              <w:t>февраль</w:t>
            </w:r>
          </w:p>
        </w:tc>
        <w:tc>
          <w:tcPr>
            <w:tcW w:w="701" w:type="dxa"/>
          </w:tcPr>
          <w:p w:rsidR="000255BB" w:rsidRPr="003776FE" w:rsidRDefault="000255BB" w:rsidP="00BC62F8">
            <w:pPr>
              <w:ind w:left="-108"/>
              <w:jc w:val="both"/>
              <w:textAlignment w:val="baseline"/>
              <w:rPr>
                <w:sz w:val="21"/>
                <w:szCs w:val="21"/>
              </w:rPr>
            </w:pPr>
            <w:r w:rsidRPr="003776FE">
              <w:rPr>
                <w:sz w:val="21"/>
                <w:szCs w:val="21"/>
              </w:rPr>
              <w:t xml:space="preserve"> март</w:t>
            </w:r>
          </w:p>
        </w:tc>
        <w:tc>
          <w:tcPr>
            <w:tcW w:w="907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 w:rsidRPr="003776FE">
              <w:rPr>
                <w:sz w:val="21"/>
                <w:szCs w:val="21"/>
              </w:rPr>
              <w:t>апрель</w:t>
            </w:r>
          </w:p>
        </w:tc>
        <w:tc>
          <w:tcPr>
            <w:tcW w:w="604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 w:rsidRPr="003776FE">
              <w:rPr>
                <w:sz w:val="21"/>
                <w:szCs w:val="21"/>
              </w:rPr>
              <w:t>май</w:t>
            </w:r>
          </w:p>
        </w:tc>
        <w:tc>
          <w:tcPr>
            <w:tcW w:w="763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 w:rsidRPr="003776FE">
              <w:rPr>
                <w:sz w:val="21"/>
                <w:szCs w:val="21"/>
              </w:rPr>
              <w:t>июнь</w:t>
            </w:r>
          </w:p>
        </w:tc>
        <w:tc>
          <w:tcPr>
            <w:tcW w:w="754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 w:rsidRPr="003776FE">
              <w:rPr>
                <w:sz w:val="21"/>
                <w:szCs w:val="21"/>
              </w:rPr>
              <w:t>июль</w:t>
            </w:r>
          </w:p>
        </w:tc>
        <w:tc>
          <w:tcPr>
            <w:tcW w:w="866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 w:rsidRPr="003776FE">
              <w:rPr>
                <w:sz w:val="21"/>
                <w:szCs w:val="21"/>
              </w:rPr>
              <w:t>август</w:t>
            </w:r>
          </w:p>
        </w:tc>
        <w:tc>
          <w:tcPr>
            <w:tcW w:w="1125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 w:rsidRPr="003776FE">
              <w:rPr>
                <w:sz w:val="21"/>
                <w:szCs w:val="21"/>
              </w:rPr>
              <w:t>сентябрь</w:t>
            </w:r>
          </w:p>
        </w:tc>
        <w:tc>
          <w:tcPr>
            <w:tcW w:w="1020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 w:rsidRPr="003776FE">
              <w:rPr>
                <w:sz w:val="21"/>
                <w:szCs w:val="21"/>
              </w:rPr>
              <w:t>октябрь</w:t>
            </w:r>
          </w:p>
        </w:tc>
        <w:tc>
          <w:tcPr>
            <w:tcW w:w="927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 w:rsidRPr="003776FE">
              <w:rPr>
                <w:sz w:val="21"/>
                <w:szCs w:val="21"/>
              </w:rPr>
              <w:t>ноябрь</w:t>
            </w:r>
          </w:p>
        </w:tc>
        <w:tc>
          <w:tcPr>
            <w:tcW w:w="234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 w:rsidRPr="003776FE">
              <w:rPr>
                <w:sz w:val="21"/>
                <w:szCs w:val="21"/>
              </w:rPr>
              <w:t>декабрь</w:t>
            </w:r>
          </w:p>
        </w:tc>
      </w:tr>
      <w:tr w:rsidR="000255BB" w:rsidRPr="003776FE" w:rsidTr="00BC62F8">
        <w:tc>
          <w:tcPr>
            <w:tcW w:w="905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25,5</w:t>
            </w:r>
          </w:p>
        </w:tc>
        <w:tc>
          <w:tcPr>
            <w:tcW w:w="1048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30,6</w:t>
            </w:r>
          </w:p>
        </w:tc>
        <w:tc>
          <w:tcPr>
            <w:tcW w:w="701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31,8</w:t>
            </w:r>
          </w:p>
        </w:tc>
        <w:tc>
          <w:tcPr>
            <w:tcW w:w="907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30,9</w:t>
            </w:r>
          </w:p>
        </w:tc>
        <w:tc>
          <w:tcPr>
            <w:tcW w:w="604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31,0</w:t>
            </w:r>
          </w:p>
        </w:tc>
        <w:tc>
          <w:tcPr>
            <w:tcW w:w="763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30,1</w:t>
            </w:r>
          </w:p>
        </w:tc>
        <w:tc>
          <w:tcPr>
            <w:tcW w:w="754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31,5</w:t>
            </w:r>
          </w:p>
        </w:tc>
        <w:tc>
          <w:tcPr>
            <w:tcW w:w="866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32,8</w:t>
            </w:r>
          </w:p>
        </w:tc>
        <w:tc>
          <w:tcPr>
            <w:tcW w:w="1125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30,1</w:t>
            </w:r>
          </w:p>
        </w:tc>
        <w:tc>
          <w:tcPr>
            <w:tcW w:w="1020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33,4</w:t>
            </w:r>
          </w:p>
        </w:tc>
        <w:tc>
          <w:tcPr>
            <w:tcW w:w="927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32,4</w:t>
            </w:r>
          </w:p>
        </w:tc>
        <w:tc>
          <w:tcPr>
            <w:tcW w:w="234" w:type="dxa"/>
          </w:tcPr>
          <w:p w:rsidR="000255BB" w:rsidRPr="003776FE" w:rsidRDefault="000255BB" w:rsidP="00BC62F8">
            <w:pPr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33,8</w:t>
            </w:r>
          </w:p>
        </w:tc>
      </w:tr>
    </w:tbl>
    <w:p w:rsidR="000255BB" w:rsidRDefault="000255BB" w:rsidP="000255BB">
      <w:pPr>
        <w:ind w:firstLine="709"/>
        <w:jc w:val="both"/>
        <w:textAlignment w:val="baseline"/>
        <w:rPr>
          <w:szCs w:val="28"/>
        </w:rPr>
      </w:pPr>
      <w:r>
        <w:rPr>
          <w:szCs w:val="28"/>
        </w:rPr>
        <w:t>Необходимо установить, по какой функции следует произвести выравнивание этого ряда. Определите параметры уравнения, характеризующего тренд. Рассчитайте теоретические уровни. Сделайте выводы.</w:t>
      </w:r>
    </w:p>
    <w:p w:rsidR="000255BB" w:rsidRDefault="000255BB"/>
    <w:sectPr w:rsidR="00025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5BB"/>
    <w:rsid w:val="000255BB"/>
    <w:rsid w:val="002F3DA0"/>
    <w:rsid w:val="003E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12983"/>
  <w15:chartTrackingRefBased/>
  <w15:docId w15:val="{8E1CEEB0-F3F5-47CA-A41D-0E4906B0B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5B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1</cp:revision>
  <dcterms:created xsi:type="dcterms:W3CDTF">2021-10-20T12:00:00Z</dcterms:created>
  <dcterms:modified xsi:type="dcterms:W3CDTF">2021-10-20T12:02:00Z</dcterms:modified>
</cp:coreProperties>
</file>