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DD387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rPr>
          <w:noProof/>
        </w:rPr>
      </w:pPr>
    </w:p>
    <w:p w14:paraId="34B8AE79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96DF13" wp14:editId="24F8BE96">
            <wp:extent cx="5939790" cy="9245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15ED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9F7E0E5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557B62B8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9870927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C7714FA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>
        <w:rPr>
          <w:rFonts w:eastAsia="Times New Roman" w:cs="Times New Roman"/>
          <w:b/>
          <w:sz w:val="44"/>
          <w:szCs w:val="44"/>
          <w:lang w:eastAsia="ru-RU"/>
        </w:rPr>
        <w:t>Практическое задание</w:t>
      </w:r>
    </w:p>
    <w:p w14:paraId="0F6CA5BF" w14:textId="3B74A26F" w:rsidR="00A45E8D" w:rsidRPr="00CF39B1" w:rsidRDefault="00A45E8D" w:rsidP="00A45E8D">
      <w:pPr>
        <w:spacing w:after="0"/>
        <w:ind w:firstLine="709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r>
        <w:rPr>
          <w:rFonts w:eastAsia="Times New Roman" w:cs="Times New Roman"/>
          <w:b/>
          <w:sz w:val="44"/>
          <w:szCs w:val="44"/>
          <w:lang w:eastAsia="ru-RU"/>
        </w:rPr>
        <w:t xml:space="preserve">по дисциплине </w:t>
      </w:r>
      <w:r w:rsidRPr="00785D04">
        <w:rPr>
          <w:rFonts w:eastAsia="Times New Roman" w:cs="Times New Roman"/>
          <w:b/>
          <w:bCs/>
          <w:sz w:val="44"/>
          <w:szCs w:val="44"/>
          <w:lang w:eastAsia="ru-RU"/>
        </w:rPr>
        <w:t>«</w:t>
      </w:r>
      <w:r w:rsidRPr="00853417">
        <w:rPr>
          <w:b/>
          <w:bCs/>
          <w:sz w:val="44"/>
          <w:szCs w:val="44"/>
        </w:rPr>
        <w:t>Ф</w:t>
      </w:r>
      <w:r>
        <w:rPr>
          <w:b/>
          <w:bCs/>
          <w:sz w:val="44"/>
          <w:szCs w:val="44"/>
        </w:rPr>
        <w:t>инансовое планирование и бюджетирование</w:t>
      </w:r>
      <w:r w:rsidRPr="00785D04">
        <w:rPr>
          <w:rFonts w:eastAsia="Times New Roman" w:cs="Times New Roman"/>
          <w:b/>
          <w:bCs/>
          <w:sz w:val="44"/>
          <w:szCs w:val="44"/>
          <w:lang w:eastAsia="ru-RU"/>
        </w:rPr>
        <w:t>»</w:t>
      </w:r>
    </w:p>
    <w:p w14:paraId="561F4B94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9A359A4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5AB29921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0A97BCE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pPr w:leftFromText="181" w:rightFromText="181" w:vertAnchor="text" w:horzAnchor="page" w:tblpX="2663" w:tblpY="-7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A45E8D" w14:paraId="5F2E88BC" w14:textId="77777777" w:rsidTr="004A1CBC">
        <w:trPr>
          <w:trHeight w:val="56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4821" w14:textId="77777777" w:rsidR="00A45E8D" w:rsidRDefault="00A45E8D" w:rsidP="004A1C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ФИО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FF7" w14:textId="426B4B45" w:rsidR="00A45E8D" w:rsidRDefault="0052002A" w:rsidP="005200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Медведева Алена</w:t>
            </w:r>
          </w:p>
        </w:tc>
      </w:tr>
      <w:tr w:rsidR="00A45E8D" w14:paraId="3E5BF48E" w14:textId="77777777" w:rsidTr="004A1CBC">
        <w:trPr>
          <w:trHeight w:val="56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849E" w14:textId="77777777" w:rsidR="00A45E8D" w:rsidRDefault="00A45E8D" w:rsidP="004A1C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F97" w14:textId="64CF03F5" w:rsidR="00A45E8D" w:rsidRDefault="0052002A" w:rsidP="004A1C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Бизнес-анализ</w:t>
            </w:r>
          </w:p>
        </w:tc>
      </w:tr>
      <w:tr w:rsidR="00A45E8D" w14:paraId="4B840757" w14:textId="77777777" w:rsidTr="004A1CBC">
        <w:trPr>
          <w:trHeight w:val="56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71D" w14:textId="77777777" w:rsidR="00A45E8D" w:rsidRDefault="00A45E8D" w:rsidP="004A1C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Профиль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B0F8" w14:textId="77777777" w:rsidR="00A45E8D" w:rsidRDefault="00A45E8D" w:rsidP="004A1CB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231A6801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714A835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E85DBC8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p w14:paraId="704D8263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88FFE2F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7173267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FF597BF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BCB5DD2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3DAF630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223726A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4E94AB1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4E31749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700FABA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B9F75AF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F727252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74989305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1C4D21DA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56186590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0FD1617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8451C7E" w14:textId="7A8BACF1" w:rsidR="00A45E8D" w:rsidRDefault="0052002A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Москва 2026</w:t>
      </w:r>
      <w:bookmarkStart w:id="0" w:name="_GoBack"/>
      <w:bookmarkEnd w:id="0"/>
      <w:r w:rsidR="00A45E8D">
        <w:rPr>
          <w:rFonts w:eastAsia="Times New Roman" w:cs="Times New Roman"/>
          <w:szCs w:val="28"/>
          <w:lang w:eastAsia="ru-RU"/>
        </w:rPr>
        <w:t>г.</w:t>
      </w:r>
    </w:p>
    <w:p w14:paraId="5E62C0B9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D887255" w14:textId="77777777" w:rsidR="00A45E8D" w:rsidRDefault="00A45E8D" w:rsidP="00A45E8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32A5E851" w14:textId="77777777" w:rsidR="00A45E8D" w:rsidRDefault="00A45E8D" w:rsidP="002D6966">
      <w:pPr>
        <w:spacing w:after="0"/>
        <w:ind w:firstLine="709"/>
        <w:jc w:val="both"/>
      </w:pPr>
    </w:p>
    <w:p w14:paraId="00C878F1" w14:textId="77777777" w:rsidR="00A45E8D" w:rsidRDefault="00A45E8D" w:rsidP="002D6966">
      <w:pPr>
        <w:spacing w:after="0"/>
        <w:ind w:firstLine="709"/>
        <w:jc w:val="both"/>
      </w:pPr>
    </w:p>
    <w:p w14:paraId="5E8C3D35" w14:textId="77777777" w:rsidR="00A45E8D" w:rsidRDefault="00A45E8D" w:rsidP="002D6966">
      <w:pPr>
        <w:spacing w:after="0"/>
        <w:ind w:firstLine="709"/>
        <w:jc w:val="both"/>
      </w:pPr>
    </w:p>
    <w:p w14:paraId="54F40417" w14:textId="77777777" w:rsidR="00A45E8D" w:rsidRDefault="00A45E8D" w:rsidP="002D6966">
      <w:pPr>
        <w:spacing w:after="0"/>
        <w:ind w:firstLine="709"/>
        <w:jc w:val="both"/>
      </w:pPr>
    </w:p>
    <w:p w14:paraId="3DA53028" w14:textId="5A9D56CF" w:rsidR="00A45E8D" w:rsidRPr="00A45E8D" w:rsidRDefault="00A45E8D" w:rsidP="00A45E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1437A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Практическое задание по </w:t>
      </w:r>
      <w:r>
        <w:rPr>
          <w:rFonts w:eastAsia="Times New Roman" w:cs="Times New Roman"/>
          <w:b/>
          <w:bCs/>
          <w:szCs w:val="28"/>
          <w:lang w:eastAsia="ru-RU"/>
        </w:rPr>
        <w:t>дисциплине Финансовое планирование и бюджетирование</w:t>
      </w:r>
    </w:p>
    <w:p w14:paraId="4A140F88" w14:textId="77777777" w:rsidR="00A45E8D" w:rsidRDefault="00A45E8D" w:rsidP="00A45E8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11437A">
        <w:rPr>
          <w:rFonts w:eastAsia="Times New Roman" w:cs="Times New Roman"/>
          <w:b/>
          <w:bCs/>
          <w:szCs w:val="28"/>
          <w:lang w:eastAsia="ru-RU"/>
        </w:rPr>
        <w:t>Задание:</w:t>
      </w:r>
    </w:p>
    <w:p w14:paraId="0535515E" w14:textId="33E0972B" w:rsidR="00A45E8D" w:rsidRDefault="00A45E8D" w:rsidP="00A45E8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1437A">
        <w:rPr>
          <w:rFonts w:eastAsia="Times New Roman" w:cs="Times New Roman"/>
          <w:szCs w:val="28"/>
          <w:lang w:eastAsia="ru-RU"/>
        </w:rPr>
        <w:t xml:space="preserve"> написать реферат по одному из </w:t>
      </w:r>
      <w:r>
        <w:rPr>
          <w:rFonts w:eastAsia="Times New Roman" w:cs="Times New Roman"/>
          <w:szCs w:val="28"/>
          <w:lang w:eastAsia="ru-RU"/>
        </w:rPr>
        <w:t>предложенных тем.</w:t>
      </w:r>
    </w:p>
    <w:p w14:paraId="697F26AA" w14:textId="77777777" w:rsidR="00A45E8D" w:rsidRPr="0011437A" w:rsidRDefault="00A45E8D" w:rsidP="00A45E8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11437A">
        <w:rPr>
          <w:rFonts w:eastAsia="Times New Roman" w:cs="Times New Roman"/>
          <w:b/>
          <w:bCs/>
          <w:szCs w:val="28"/>
          <w:lang w:eastAsia="ru-RU"/>
        </w:rPr>
        <w:t>Примечание:</w:t>
      </w:r>
    </w:p>
    <w:p w14:paraId="4DFB2558" w14:textId="434D9FAF" w:rsidR="00A45E8D" w:rsidRDefault="00A45E8D" w:rsidP="00A45E8D">
      <w:pPr>
        <w:spacing w:after="0" w:line="360" w:lineRule="auto"/>
        <w:ind w:firstLine="709"/>
        <w:jc w:val="both"/>
      </w:pPr>
      <w:r>
        <w:t>Темы рефератов охватывают наиболее актуальные проблемы в области изучения дисциплины. Тема реферата выбирается студентами самостоятельно, по желанию. Прежде чем приступить к написанию реферата, необходимо ознакомиться с заданием и подобрать необходимую литературу. После выбора темы составляется список литературы, опубликованных статей, необходимых справочных источников. Подобранную литературу следует зафиксировать согласно ГОСТ по библиографическому описанию произведений печати.</w:t>
      </w:r>
    </w:p>
    <w:p w14:paraId="13F3E015" w14:textId="58957224" w:rsidR="00A45E8D" w:rsidRPr="00A45E8D" w:rsidRDefault="00A45E8D" w:rsidP="00A45E8D">
      <w:pPr>
        <w:spacing w:after="0" w:line="360" w:lineRule="auto"/>
        <w:ind w:firstLine="709"/>
        <w:jc w:val="center"/>
        <w:rPr>
          <w:b/>
          <w:bCs/>
        </w:rPr>
      </w:pPr>
      <w:r w:rsidRPr="00A45E8D">
        <w:rPr>
          <w:b/>
          <w:bCs/>
        </w:rPr>
        <w:t>Темы рефератов</w:t>
      </w:r>
    </w:p>
    <w:p w14:paraId="1445A5D5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1. Сущность, принципы и содержание финансового планирования на предприятии</w:t>
      </w:r>
    </w:p>
    <w:p w14:paraId="4EF787D6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2. Виды финансовых планов на предприятии.</w:t>
      </w:r>
    </w:p>
    <w:p w14:paraId="09230412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3. Структура финансового плана.</w:t>
      </w:r>
    </w:p>
    <w:p w14:paraId="1F5FEC86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4. Назначение и сущность бюджетирования.</w:t>
      </w:r>
    </w:p>
    <w:p w14:paraId="3E019D2F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5. Виды бюджетов.</w:t>
      </w:r>
    </w:p>
    <w:p w14:paraId="5EF7D902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6. Понятие финансовой структуры предприятия, центры финансовой ответственности.</w:t>
      </w:r>
    </w:p>
    <w:p w14:paraId="654CFFC2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7. Стадии бюджетного цикла, Бюджетный контроллинг и организация управленческого учета.</w:t>
      </w:r>
    </w:p>
    <w:p w14:paraId="55FCB41B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8. Сущность, виды и методы анализа бюджетов. Детализация бюджетных отклонений по видам бюджетов.</w:t>
      </w:r>
    </w:p>
    <w:p w14:paraId="5A964899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9. Прогноз объема продаж и бюджет продаж. Бюджет производства.</w:t>
      </w:r>
    </w:p>
    <w:p w14:paraId="526BF8C9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10. Операционные бюджеты: особенности разработки.</w:t>
      </w:r>
    </w:p>
    <w:p w14:paraId="133423BE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11. Финансовые бюджеты: особенности разработки. Соотношение финансовых бюджетов и платежного календаря.</w:t>
      </w:r>
    </w:p>
    <w:p w14:paraId="524BF901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lastRenderedPageBreak/>
        <w:t>12. План прибыли.</w:t>
      </w:r>
    </w:p>
    <w:p w14:paraId="479C720E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13. План движения денежных средств.</w:t>
      </w:r>
    </w:p>
    <w:p w14:paraId="57D062FE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14. Прогнозный баланс.</w:t>
      </w:r>
    </w:p>
    <w:p w14:paraId="7072974B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15. Организация мониторинга исполнения финансового плана.</w:t>
      </w:r>
    </w:p>
    <w:p w14:paraId="7722FD19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16. Отклонения: понятие, виды, подход к анализу, роль в системе контроля исполнения финансового плана.</w:t>
      </w:r>
    </w:p>
    <w:p w14:paraId="145494CE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17. Возможности использования скользящего бюджетирования для целей контроля.</w:t>
      </w:r>
    </w:p>
    <w:p w14:paraId="0BDD6BE5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18. Затраты на производство, их классификация, организация учета.</w:t>
      </w:r>
    </w:p>
    <w:p w14:paraId="4880E77D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19. Методы учета затрат и калькулирования себестоимости продукции.</w:t>
      </w:r>
    </w:p>
    <w:p w14:paraId="143D8233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20. Отраслевые особенности бюджетирования на предприятиях транспорта.</w:t>
      </w:r>
    </w:p>
    <w:p w14:paraId="16B8A590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21. Бюджетирование на производственных предприятиях.</w:t>
      </w:r>
    </w:p>
    <w:p w14:paraId="44B44048" w14:textId="77777777" w:rsidR="00A45E8D" w:rsidRDefault="00A45E8D" w:rsidP="00A45E8D">
      <w:pPr>
        <w:spacing w:after="0" w:line="360" w:lineRule="auto"/>
        <w:ind w:firstLine="709"/>
        <w:contextualSpacing/>
        <w:jc w:val="both"/>
      </w:pPr>
      <w:r>
        <w:t>22. Бюджетирование в некоммерческих организациях.</w:t>
      </w:r>
    </w:p>
    <w:p w14:paraId="22258400" w14:textId="77777777" w:rsidR="00A45E8D" w:rsidRDefault="00A45E8D" w:rsidP="00A45E8D">
      <w:pPr>
        <w:spacing w:after="0" w:line="360" w:lineRule="auto"/>
        <w:ind w:firstLine="709"/>
        <w:jc w:val="both"/>
      </w:pPr>
    </w:p>
    <w:p w14:paraId="36D475CA" w14:textId="77777777" w:rsidR="00A45E8D" w:rsidRDefault="00A45E8D" w:rsidP="00A45E8D">
      <w:pPr>
        <w:spacing w:after="0" w:line="360" w:lineRule="auto"/>
        <w:ind w:firstLine="709"/>
        <w:jc w:val="both"/>
      </w:pPr>
    </w:p>
    <w:p w14:paraId="0FB7918A" w14:textId="77777777" w:rsidR="00A45E8D" w:rsidRPr="0011437A" w:rsidRDefault="00A45E8D" w:rsidP="00A45E8D">
      <w:pPr>
        <w:spacing w:after="0" w:line="360" w:lineRule="auto"/>
        <w:ind w:firstLine="709"/>
        <w:jc w:val="center"/>
        <w:rPr>
          <w:b/>
          <w:bCs/>
        </w:rPr>
      </w:pPr>
      <w:r w:rsidRPr="0011437A">
        <w:rPr>
          <w:b/>
          <w:bCs/>
        </w:rPr>
        <w:t>Критерии оценки реферата:</w:t>
      </w:r>
    </w:p>
    <w:p w14:paraId="105715BB" w14:textId="77777777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Количество страниц реферата не менее 15 страниц напечатанного текста (межстрочное расстояние - полуторное; размер шрифта. - 14 пунктов).</w:t>
      </w:r>
    </w:p>
    <w:p w14:paraId="77E95C0E" w14:textId="7EA4B61C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>Список литературы должен содержать не менее 5 учебной литературы (оформление по ГОСТу).</w:t>
      </w:r>
    </w:p>
    <w:p w14:paraId="4E7D7CF8" w14:textId="77777777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Поля должны оставляться по всем четырем сторонам листа. Размер левого поля - 25 мм, правого - 10 мм, верхнего и нижнего полей - 20 мм</w:t>
      </w:r>
    </w:p>
    <w:p w14:paraId="3F3027E9" w14:textId="77777777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t>шрифт</w:t>
      </w:r>
      <w:r w:rsidRPr="0011437A">
        <w:rPr>
          <w:lang w:val="en-US"/>
        </w:rPr>
        <w:t xml:space="preserve"> Times New Roman, </w:t>
      </w:r>
      <w:r>
        <w:t>размер</w:t>
      </w:r>
      <w:r w:rsidRPr="0011437A">
        <w:rPr>
          <w:lang w:val="en-US"/>
        </w:rPr>
        <w:t xml:space="preserve"> </w:t>
      </w:r>
      <w:r>
        <w:t>шрифта</w:t>
      </w:r>
      <w:r w:rsidRPr="0011437A">
        <w:rPr>
          <w:lang w:val="en-US"/>
        </w:rPr>
        <w:t xml:space="preserve"> 14.</w:t>
      </w:r>
    </w:p>
    <w:p w14:paraId="3577EC1D" w14:textId="77777777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выравнивание по ширине, первая строка равна отступ 1,25 см, межстрочный интервал – 1,5 (при этом отступ справа/слева и интервал перед/после равны нулю).</w:t>
      </w:r>
    </w:p>
    <w:p w14:paraId="54A9DF8A" w14:textId="77777777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 xml:space="preserve">Прописывать наименование параграфов (16 </w:t>
      </w:r>
      <w:r w:rsidRPr="00AD3494">
        <w:t xml:space="preserve">шрифт </w:t>
      </w:r>
      <w:proofErr w:type="spellStart"/>
      <w:r w:rsidRPr="00AD3494">
        <w:t>Times</w:t>
      </w:r>
      <w:proofErr w:type="spellEnd"/>
      <w:r w:rsidRPr="00AD3494">
        <w:t xml:space="preserve"> </w:t>
      </w:r>
      <w:proofErr w:type="spellStart"/>
      <w:r w:rsidRPr="00AD3494">
        <w:t>New</w:t>
      </w:r>
      <w:proofErr w:type="spellEnd"/>
      <w:r w:rsidRPr="00AD3494">
        <w:t xml:space="preserve"> </w:t>
      </w:r>
      <w:proofErr w:type="spellStart"/>
      <w:r w:rsidRPr="00AD3494">
        <w:t>Roma</w:t>
      </w:r>
      <w:proofErr w:type="spellEnd"/>
      <w:r>
        <w:rPr>
          <w:lang w:val="en-US"/>
        </w:rPr>
        <w:t>n</w:t>
      </w:r>
      <w:r>
        <w:t>, полужирное начертание</w:t>
      </w:r>
      <w:r w:rsidRPr="00AD3494">
        <w:t>)</w:t>
      </w:r>
      <w:r>
        <w:t xml:space="preserve">. </w:t>
      </w:r>
    </w:p>
    <w:p w14:paraId="0EAB2CCD" w14:textId="6DB8AB34" w:rsidR="00A45E8D" w:rsidRDefault="00A45E8D" w:rsidP="00A45E8D">
      <w:pPr>
        <w:pStyle w:val="a4"/>
        <w:numPr>
          <w:ilvl w:val="0"/>
          <w:numId w:val="1"/>
        </w:numPr>
        <w:spacing w:after="0" w:line="360" w:lineRule="auto"/>
        <w:jc w:val="both"/>
      </w:pPr>
      <w:r>
        <w:t>Оригинальность реферата не менее 40%.</w:t>
      </w:r>
    </w:p>
    <w:sectPr w:rsidR="00A45E8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6BAA"/>
    <w:multiLevelType w:val="hybridMultilevel"/>
    <w:tmpl w:val="8C4CC224"/>
    <w:lvl w:ilvl="0" w:tplc="AFB081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B4"/>
    <w:rsid w:val="000A71B4"/>
    <w:rsid w:val="002D6966"/>
    <w:rsid w:val="0052002A"/>
    <w:rsid w:val="006C0B77"/>
    <w:rsid w:val="008242FF"/>
    <w:rsid w:val="00870751"/>
    <w:rsid w:val="00922C48"/>
    <w:rsid w:val="00A45E8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50C2"/>
  <w15:chartTrackingRefBased/>
  <w15:docId w15:val="{B9CD9221-E82B-40E6-8F84-10CC9A9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2021-12-02T09:16:00Z</dcterms:created>
  <dcterms:modified xsi:type="dcterms:W3CDTF">2026-02-09T12:03:00Z</dcterms:modified>
</cp:coreProperties>
</file>