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Лабораторная работа № 1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Получение литых заготовок в песчано-глинистые формы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работы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Познакомиться с процессом изготовления отливок в песчано-глинистые формы.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Оснащение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Чертёж детали.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Модели изделия и элементов литниковой системы.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Муфельная электропечь сопротивления.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Стержневой ящик.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Парные опоки.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Формовочные материалы (песок, глина, опилки, припылы и др.).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Общие сведения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Процесс получения отливок в песчано-глинистые формы можно представить следующим образом. По чертежу детали разрабатывают модельный комплект, куда входят модель детали, стержневой ящик и модель литниковой системы. По моделям детали и литниковой системы из формовочной смеси изготовляют литейную форму, а из стержневой смеси – стержни, конфигурация которых соответствует внутренним полостям детали. Для повышения прочности стержней их сушат в сушильных печах. Изготовленную форму раскрывают, извлекают из обеих </w:t>
      </w:r>
      <w:proofErr w:type="spellStart"/>
      <w:r>
        <w:rPr>
          <w:color w:val="000000"/>
          <w:sz w:val="28"/>
          <w:szCs w:val="28"/>
        </w:rPr>
        <w:t>полуформ</w:t>
      </w:r>
      <w:proofErr w:type="spellEnd"/>
      <w:r>
        <w:rPr>
          <w:color w:val="000000"/>
          <w:sz w:val="28"/>
          <w:szCs w:val="28"/>
        </w:rPr>
        <w:t xml:space="preserve"> половинки модели детали и модели литниковой системы, покрывают полость формы припылами или красками, устанавливают в форму стержень и вновь ее собирают. Затем в форму заливают расплавленный металл. После затвердевания металла в форме образуется отливка, которую выбивают из формы. Готовую отливку освобождают от пригоревшей формовочной смеси, удаляют литниковую систему, выбивают стержень и отправляют на механическую обработку.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1.1. Изготовление модельного комплекта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Модельный комплект – это совокупность технологической оснастки, необходимой для образования в песчано-глинистой форме полости, соответствующей контурам отливки. В модельный комплект входят модели детали, стержневые ящики и модели элементов литниковой системы.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Модель детали – это приспособление</w:t>
      </w:r>
      <w:bookmarkStart w:id="0" w:name="_GoBack"/>
      <w:r>
        <w:rPr>
          <w:color w:val="000000"/>
          <w:sz w:val="28"/>
          <w:szCs w:val="28"/>
        </w:rPr>
        <w:t xml:space="preserve"> для получения полости в литейной форме, близкой к конфигурации и размерам получаемой отливки. Модели могут быть неразъёмными, разъёмными, могут иметь отдельные части.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Стержневой  ящик  –  приспособление,  служащее  для  изготовления  стержней.  Стержневые  ящики  бывают  цельными,  разъёмными и </w:t>
      </w:r>
      <w:proofErr w:type="spellStart"/>
      <w:r>
        <w:rPr>
          <w:color w:val="000000"/>
          <w:sz w:val="28"/>
          <w:szCs w:val="28"/>
        </w:rPr>
        <w:t>вытряхными</w:t>
      </w:r>
      <w:proofErr w:type="spellEnd"/>
      <w:r>
        <w:rPr>
          <w:color w:val="000000"/>
          <w:sz w:val="28"/>
          <w:szCs w:val="28"/>
        </w:rPr>
        <w:t>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Модели элементов литниковой системы – это приспосо</w:t>
      </w:r>
      <w:bookmarkEnd w:id="0"/>
      <w:r>
        <w:rPr>
          <w:color w:val="000000"/>
          <w:sz w:val="28"/>
          <w:szCs w:val="28"/>
        </w:rPr>
        <w:t xml:space="preserve">бления для получения  в литейной форме системы каналов, через которые жидкий металл будет заливаться в полость формы. Литниковая система включает в себя  стояк, шлакоуловитель, питатели и выпор.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Исходным документом для разработки модельного комплекта является чертеж  элементов литейной формы детали (рис. 1.2). На копию чертежа детали (рис. 1.1) наносятся модельно-литейные указания. В соответствии с этими указаниями на чертеже детали должны быть показаны разъем модели и формы, положение отливки в форме при заливке ее жидким металлом, припуск на механическую обработку, формовочные уклоны, положение и форма стержней, размеры стержневых знаков, величина усадки. Кроме этого, должны быть указаны отверстия и пазы, которые не отливаются.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чертежа элементов литейной формы (см. рис. 1.2) выполняется в соответствии с правилами ГОСТ 3.1125-88.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i/>
          <w:color w:val="000000"/>
          <w:sz w:val="28"/>
          <w:szCs w:val="28"/>
        </w:rPr>
        <w:t>Положение разъема модели и формы</w:t>
      </w:r>
      <w:r>
        <w:rPr>
          <w:color w:val="000000"/>
          <w:sz w:val="28"/>
          <w:szCs w:val="28"/>
        </w:rPr>
        <w:t xml:space="preserve"> должно обеспечивать свободное извлечение модели из формы. На чертеже (см. рис. 1.2) поверхность разъема модели и формы </w:t>
      </w:r>
      <w:r>
        <w:rPr>
          <w:i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обозначают линией </w:t>
      </w:r>
      <w:r>
        <w:rPr>
          <w:i/>
          <w:color w:val="000000"/>
          <w:sz w:val="28"/>
          <w:szCs w:val="28"/>
        </w:rPr>
        <w:t>МФ</w:t>
      </w:r>
      <w:r>
        <w:rPr>
          <w:color w:val="000000"/>
          <w:sz w:val="28"/>
          <w:szCs w:val="28"/>
        </w:rPr>
        <w:t xml:space="preserve"> и стрелками направления верха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и  низа  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i/>
          <w:color w:val="000000"/>
          <w:sz w:val="28"/>
          <w:szCs w:val="28"/>
        </w:rPr>
        <w:t>Припуск на механическую обработку</w:t>
      </w:r>
      <w:r>
        <w:rPr>
          <w:color w:val="000000"/>
          <w:sz w:val="28"/>
          <w:szCs w:val="28"/>
        </w:rPr>
        <w:t xml:space="preserve"> – это слой металла, удаляемый резанием с обрабатываемых поверхностей отливки для обеспечения их заданной точности и шероховатости. Припуск зависит от материала и размеров отливки, ее положения в форме и регламентируется соответствующим   ГОСТом. Для мелких отливок припуск может быть в пределах 2...5 мм.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копии чертежа детали (см. рис. 1.2)  припуск </w:t>
      </w:r>
      <w:r>
        <w:rPr>
          <w:i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показывают тонкой линией с указанием его величины, проставленной перед знаком шероховатости обрабатываемой поверхности </w:t>
      </w: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285115" cy="168910"/>
            <wp:effectExtent l="0" t="0" r="0" b="0"/>
            <wp:docPr id="1044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168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i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Остальные поверхности механической обработке не подлежат, на что указывает знак  </w:t>
      </w: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546100" cy="160655"/>
            <wp:effectExtent l="0" t="0" r="0" b="0"/>
            <wp:docPr id="1045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1606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в правом верхнем углу чертежа.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i/>
          <w:color w:val="000000"/>
          <w:sz w:val="28"/>
          <w:szCs w:val="28"/>
        </w:rPr>
        <w:t>Изображение и обозначение стержней</w:t>
      </w:r>
      <w:r>
        <w:rPr>
          <w:color w:val="000000"/>
          <w:sz w:val="28"/>
          <w:szCs w:val="28"/>
        </w:rPr>
        <w:t xml:space="preserve">. При разработке литейно-модельных указаний на копии чертежа детали  (см. рис. 1.2) изображают стержни </w:t>
      </w:r>
      <w:r>
        <w:rPr>
          <w:i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их форму и размеры стержневых знаков </w:t>
      </w:r>
      <w:r>
        <w:rPr>
          <w:i/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Стержни  соответствуют конфигурации внутренней полости отливки. Их изображают тонкой линией со штриховкой по контуру. На стержневых знаках </w:t>
      </w:r>
      <w:r>
        <w:rPr>
          <w:i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необходимо проставить их размеры.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Отверстия деталей диаметром менее 20 мм обычно в литье не выполняются, а получаются механической обработкой. Такие отверстия на чертеже перечёркивают тонкими линиями </w:t>
      </w:r>
      <w:r>
        <w:rPr>
          <w:i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571500</wp:posOffset>
            </wp:positionH>
            <wp:positionV relativeFrom="paragraph">
              <wp:posOffset>-318769</wp:posOffset>
            </wp:positionV>
            <wp:extent cx="3324225" cy="2676525"/>
            <wp:effectExtent l="0" t="0" r="0" b="0"/>
            <wp:wrapNone/>
            <wp:docPr id="1051" name="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676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46355</wp:posOffset>
                </wp:positionV>
                <wp:extent cx="2084070" cy="504825"/>
                <wp:effectExtent l="0" t="0" r="0" b="0"/>
                <wp:wrapNone/>
                <wp:docPr id="1037" name="Поле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407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00918303" w:rsidDel="FFFFFFFF">
                              <w:t>«</w:t>
                            </w:r>
                            <w:r w:rsidRPr="00918303" w:rsidDel="FFFFFFFF">
                              <w:rPr>
                                <w:i/>
                              </w:rPr>
                              <w:t>Ступица»</w:t>
                            </w:r>
                          </w:p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00918303" w:rsidDel="FFFFFFFF">
                              <w:rPr>
                                <w:i/>
                              </w:rPr>
                              <w:t>СЧ 20,ГОСТ 1412-85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3850005</wp:posOffset>
                </wp:positionH>
                <wp:positionV relativeFrom="paragraph">
                  <wp:posOffset>46355</wp:posOffset>
                </wp:positionV>
                <wp:extent cx="2084070" cy="504825"/>
                <wp:effectExtent b="0" l="0" r="0" t="0"/>
                <wp:wrapNone/>
                <wp:docPr id="103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4070" cy="504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1.1. Чертёж детали ступица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-1414144</wp:posOffset>
            </wp:positionV>
            <wp:extent cx="4467225" cy="2895600"/>
            <wp:effectExtent l="0" t="0" r="0" b="0"/>
            <wp:wrapNone/>
            <wp:docPr id="1047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895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170815</wp:posOffset>
                </wp:positionV>
                <wp:extent cx="1969135" cy="858520"/>
                <wp:effectExtent l="0" t="0" r="0" b="0"/>
                <wp:wrapNone/>
                <wp:docPr id="1038" name="Поле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85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00918303" w:rsidDel="FFFFFFFF">
                              <w:t>«</w:t>
                            </w:r>
                            <w:r w:rsidRPr="00918303" w:rsidDel="FFFFFFFF">
                              <w:rPr>
                                <w:i/>
                              </w:rPr>
                              <w:t>Ступица»</w:t>
                            </w:r>
                          </w:p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00918303" w:rsidDel="FFFFFFFF">
                              <w:rPr>
                                <w:i/>
                              </w:rPr>
                              <w:t>СЧ 20, ГОСТ 1412-85</w:t>
                            </w:r>
                          </w:p>
                          <w:p w:rsidR="004F71D7" w:rsidRDefault="00062917" w:rsidP="00057E54">
                            <w:pPr>
                              <w:ind w:left="0" w:hanging="2"/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918303" w:rsidDel="FFFFFFFF">
                              <w:rPr>
                                <w:i/>
                              </w:rPr>
                              <w:t>Формовочные  уклоны 3</w:t>
                            </w:r>
                            <w:r w:rsidRPr="00918303" w:rsidDel="FFFFFFFF">
                              <w:t>°</w:t>
                            </w:r>
                          </w:p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00918303" w:rsidDel="FFFFFFFF">
                              <w:rPr>
                                <w:i/>
                              </w:rPr>
                              <w:t>Усадка 1 %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4008120</wp:posOffset>
                </wp:positionH>
                <wp:positionV relativeFrom="paragraph">
                  <wp:posOffset>170815</wp:posOffset>
                </wp:positionV>
                <wp:extent cx="1969135" cy="858520"/>
                <wp:effectExtent b="0" l="0" r="0" t="0"/>
                <wp:wrapNone/>
                <wp:docPr id="1038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9135" cy="8585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1.2. Чертёж элементов литейной формы с модельно-литейными указаниями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i/>
          <w:color w:val="000000"/>
          <w:sz w:val="28"/>
          <w:szCs w:val="28"/>
        </w:rPr>
        <w:t>. Литниковая система</w:t>
      </w:r>
      <w:r>
        <w:rPr>
          <w:color w:val="000000"/>
          <w:sz w:val="28"/>
          <w:szCs w:val="28"/>
        </w:rPr>
        <w:t xml:space="preserve"> – каналы, питающие форму расплавленным металлом (стояк, шлакоуловитель, питатели, выпор), вычерчивают тонкими линиями в поле чертежа. Геометрические размеры элементов литниковой системы определяются из отдельных расчётов.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>
        <w:rPr>
          <w:i/>
          <w:color w:val="000000"/>
          <w:sz w:val="28"/>
          <w:szCs w:val="28"/>
        </w:rPr>
        <w:t>Формовочные уклоны</w:t>
      </w:r>
      <w:r>
        <w:rPr>
          <w:color w:val="000000"/>
          <w:sz w:val="28"/>
          <w:szCs w:val="28"/>
        </w:rPr>
        <w:t xml:space="preserve"> служат для облегчения выемки модели из формы без ее разрушения (см. рис. 1.2). Величина уклона зависит от материала модели и высоты боковой поверхности и может составлять 0,5...3°. Величину уклона указывают рядом с чертежом детали.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>
        <w:rPr>
          <w:i/>
          <w:color w:val="000000"/>
          <w:sz w:val="28"/>
          <w:szCs w:val="28"/>
        </w:rPr>
        <w:t>Усадка.</w:t>
      </w:r>
      <w:r>
        <w:rPr>
          <w:color w:val="000000"/>
          <w:sz w:val="28"/>
          <w:szCs w:val="28"/>
        </w:rPr>
        <w:t xml:space="preserve"> Модели и стержневые ящики должны быть больше соответствующих размеров отливки на величину усадки металла. Усадка серого чугуна составляет 1 %, стали – 2 %, цветных сплавов – 1,5...2 %. Величину усадки указывают в списке технических требований  в поле чертежа.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1.2. Разработка чертежа отливки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основе чертежа элементов литейной формы с нанесёнными модельно-литейными указаниями разрабатывается чертёж отливки (обычно только в серийной технологии). При вычерчивании отливки (рис. 1.3) указывают все припуски и их величины. </w:t>
      </w:r>
    </w:p>
    <w:tbl>
      <w:tblPr>
        <w:tblStyle w:val="ac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977"/>
        <w:gridCol w:w="3593"/>
      </w:tblGrid>
      <w:tr w:rsidR="004F71D7">
        <w:tc>
          <w:tcPr>
            <w:tcW w:w="5977" w:type="dxa"/>
          </w:tcPr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>
                  <wp:extent cx="3658235" cy="2910205"/>
                  <wp:effectExtent l="0" t="0" r="0" b="0"/>
                  <wp:docPr id="1046" name="image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235" cy="29102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3" w:type="dxa"/>
            <w:vAlign w:val="center"/>
          </w:tcPr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«Ступица» (отливка)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СЧ 20, ГОСТ 1412-85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1. Твёрдость НВ 170…220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2. Литейные уклоны 3°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3. Неуказанные литейные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радиусы 2 мм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4. Точность отливки 9-9-6-5</w:t>
            </w:r>
          </w:p>
          <w:p w:rsidR="004F71D7" w:rsidRDefault="00062917" w:rsidP="0005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(ГОСТ 26645-85)</w:t>
            </w:r>
          </w:p>
        </w:tc>
      </w:tr>
    </w:tbl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b/>
          <w:color w:val="000000"/>
        </w:rPr>
        <w:t>Рис. 1.3. Чертёж отливки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Внутренний контур обрабатываемых  поверхностей, а также отверстий, выточек, не выполняемых в литье, вычерчивается сплошной тонкой линией. Части оставшихся питателей, выпоров, прибылей и </w:t>
      </w:r>
      <w:proofErr w:type="spellStart"/>
      <w:r>
        <w:rPr>
          <w:color w:val="000000"/>
          <w:sz w:val="28"/>
          <w:szCs w:val="28"/>
        </w:rPr>
        <w:t>неотливаемых</w:t>
      </w:r>
      <w:proofErr w:type="spellEnd"/>
      <w:r>
        <w:rPr>
          <w:color w:val="000000"/>
          <w:sz w:val="28"/>
          <w:szCs w:val="28"/>
        </w:rPr>
        <w:t xml:space="preserve"> отверстий, попадающих в разрез, штрихуют. Наклон штриховки обрабатываемых отверстий должен совпадать с наклоном штриховки разрезов и сечений детали.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чертеже отливки указываются технические требования, необходимые для ее изготовления и приемки: твердость HB, неуказанные литейные уклоны, неуказанные литейные радиусы, класс точности отливки, способ очистки отливки, возможность наличия раковин, смещения по разъему и т. д. В зависимости от способа литья и массы отливки характеризуются классами точности: классом точности размеров; степенью коробления;</w:t>
      </w:r>
      <w:proofErr w:type="gramEnd"/>
      <w:r>
        <w:rPr>
          <w:color w:val="000000"/>
          <w:sz w:val="28"/>
          <w:szCs w:val="28"/>
        </w:rPr>
        <w:t xml:space="preserve"> степенью точности поверхностей; классом точности массы.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требования указываются с правой стороны в поле чертежа отливки.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1.3. Изготовление модели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модельно-литейными указаниями изготовляется модель. В зависимости от вида производства модели делают деревянными, металлическими, пластмассовыми. Деревянные модели должны быть </w:t>
      </w:r>
      <w:r>
        <w:rPr>
          <w:color w:val="000000"/>
          <w:sz w:val="28"/>
          <w:szCs w:val="28"/>
        </w:rPr>
        <w:lastRenderedPageBreak/>
        <w:t xml:space="preserve">покрашены (для чугунного литья – в красный цвет, для стального –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серый,  для цветного – в жёлтый). Причём стержневые знаки должны быть выделены чёрной краской (рис. 1.4).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6"/>
          <w:szCs w:val="16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noProof/>
          <w:color w:val="000000"/>
        </w:rPr>
        <w:drawing>
          <wp:inline distT="0" distB="0" distL="114300" distR="114300">
            <wp:extent cx="3108325" cy="2199640"/>
            <wp:effectExtent l="0" t="0" r="0" b="0"/>
            <wp:docPr id="1049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325" cy="21996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1.4. Эскиз модели: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i/>
          <w:color w:val="000000"/>
        </w:rPr>
        <w:t>1</w:t>
      </w:r>
      <w:r>
        <w:rPr>
          <w:color w:val="000000"/>
        </w:rPr>
        <w:t xml:space="preserve"> – плоскость разъёма; </w:t>
      </w:r>
      <w:r>
        <w:rPr>
          <w:i/>
          <w:color w:val="000000"/>
        </w:rPr>
        <w:t>2</w:t>
      </w:r>
      <w:r>
        <w:rPr>
          <w:color w:val="000000"/>
        </w:rPr>
        <w:t xml:space="preserve"> – стержневые знаки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1.4. Изготовление стержневого ящика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Стержневые ящики могут изготавливаться из дерева и металла в зависимости от вида производства. Внутренняя полость стержневого ящика должна полностью соответствовать по модельно-литейным указаниям наружному контуру стержня, т.е. при её изготовлении учитывают припуск на обработку, усадку и размеры стержневых знаков (рис. 1.5).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16"/>
          <w:szCs w:val="16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2336" behindDoc="1" locked="0" layoutInCell="1" hidden="0" allowOverlap="1">
            <wp:simplePos x="0" y="0"/>
            <wp:positionH relativeFrom="column">
              <wp:posOffset>1637665</wp:posOffset>
            </wp:positionH>
            <wp:positionV relativeFrom="paragraph">
              <wp:posOffset>-1595119</wp:posOffset>
            </wp:positionV>
            <wp:extent cx="3378200" cy="3708400"/>
            <wp:effectExtent l="0" t="0" r="0" b="0"/>
            <wp:wrapNone/>
            <wp:docPr id="103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8200" cy="3708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</w:t>
      </w:r>
      <w:r>
        <w:rPr>
          <w:i/>
          <w:color w:val="000000"/>
          <w:sz w:val="28"/>
          <w:szCs w:val="28"/>
        </w:rPr>
        <w:t xml:space="preserve">а)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                                                             б)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057E54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  <w:r>
        <w:rPr>
          <w:b/>
          <w:color w:val="000000"/>
        </w:rPr>
        <w:lastRenderedPageBreak/>
        <w:t>Рис. 1.5. Стержневой ящик</w:t>
      </w:r>
      <w:r>
        <w:rPr>
          <w:color w:val="000000"/>
        </w:rPr>
        <w:t xml:space="preserve"> (</w:t>
      </w:r>
      <w:r>
        <w:rPr>
          <w:i/>
          <w:color w:val="000000"/>
        </w:rPr>
        <w:t>а</w:t>
      </w:r>
      <w:r>
        <w:rPr>
          <w:color w:val="000000"/>
        </w:rPr>
        <w:t xml:space="preserve">) </w:t>
      </w:r>
      <w:r>
        <w:rPr>
          <w:b/>
          <w:color w:val="000000"/>
        </w:rPr>
        <w:t>и стержень</w:t>
      </w:r>
      <w:r>
        <w:rPr>
          <w:color w:val="000000"/>
        </w:rPr>
        <w:t xml:space="preserve"> (</w:t>
      </w:r>
      <w:r>
        <w:rPr>
          <w:i/>
          <w:color w:val="000000"/>
        </w:rPr>
        <w:t>б</w:t>
      </w:r>
      <w:r>
        <w:rPr>
          <w:color w:val="000000"/>
        </w:rPr>
        <w:t>)</w:t>
      </w:r>
    </w:p>
    <w:p w:rsidR="00057E54" w:rsidRDefault="00057E54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</w:p>
    <w:p w:rsidR="004F71D7" w:rsidRPr="00057E54" w:rsidRDefault="00057E54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</w:rPr>
      </w:pPr>
      <w:r>
        <w:rPr>
          <w:i/>
          <w:color w:val="000000"/>
          <w:sz w:val="28"/>
          <w:szCs w:val="28"/>
        </w:rPr>
        <w:t xml:space="preserve"> </w:t>
      </w:r>
      <w:r w:rsidR="00062917">
        <w:rPr>
          <w:i/>
          <w:color w:val="000000"/>
          <w:sz w:val="28"/>
          <w:szCs w:val="28"/>
        </w:rPr>
        <w:t>1.5. Изготовление моделей элементов литниковой системы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Стояк </w:t>
      </w:r>
      <w:r>
        <w:rPr>
          <w:i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представляет собой конический стержень, образующий в форме вертикальный канал, по которому металл из литниковой чаши поступает в шлакоуловитель </w:t>
      </w:r>
      <w:r>
        <w:rPr>
          <w:i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расположенный в верхней половине формы (рис. 1.6).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n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>
        <w:rPr>
          <w:i/>
          <w:color w:val="000000"/>
          <w:sz w:val="28"/>
          <w:szCs w:val="28"/>
        </w:rPr>
        <w:t>К</w:t>
      </w:r>
      <w:r>
        <w:rPr>
          <w:i/>
          <w:color w:val="000000"/>
          <w:sz w:val="28"/>
          <w:szCs w:val="28"/>
          <w:vertAlign w:val="subscript"/>
        </w:rPr>
        <w:t>ол</w:t>
      </w:r>
      <w:r>
        <w:rPr>
          <w:i/>
          <w:color w:val="000000"/>
          <w:sz w:val="28"/>
          <w:szCs w:val="28"/>
        </w:rPr>
        <w:t xml:space="preserve">=…шт.                                                                                      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>
        <w:rPr>
          <w:i/>
          <w:color w:val="000000"/>
          <w:sz w:val="28"/>
          <w:szCs w:val="28"/>
        </w:rPr>
        <w:t>∑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п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  <w:r>
        <w:rPr>
          <w:i/>
          <w:color w:val="000000"/>
          <w:sz w:val="28"/>
          <w:szCs w:val="28"/>
        </w:rPr>
        <w:t xml:space="preserve">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-932179</wp:posOffset>
            </wp:positionV>
            <wp:extent cx="4343400" cy="3595370"/>
            <wp:effectExtent l="0" t="0" r="0" b="0"/>
            <wp:wrapNone/>
            <wp:docPr id="104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5953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шл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>
        <w:rPr>
          <w:i/>
          <w:color w:val="000000"/>
          <w:sz w:val="28"/>
          <w:szCs w:val="28"/>
        </w:rPr>
        <w:t>К</w:t>
      </w:r>
      <w:r>
        <w:rPr>
          <w:i/>
          <w:color w:val="000000"/>
          <w:sz w:val="28"/>
          <w:szCs w:val="28"/>
          <w:vertAlign w:val="subscript"/>
        </w:rPr>
        <w:t>ол</w:t>
      </w:r>
      <w:r>
        <w:rPr>
          <w:i/>
          <w:color w:val="000000"/>
          <w:sz w:val="28"/>
          <w:szCs w:val="28"/>
        </w:rPr>
        <w:t xml:space="preserve">=…шт.                                                                                      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>
        <w:rPr>
          <w:i/>
          <w:color w:val="000000"/>
          <w:sz w:val="28"/>
          <w:szCs w:val="28"/>
        </w:rPr>
        <w:t>∑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шл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  <w:r>
        <w:rPr>
          <w:i/>
          <w:color w:val="000000"/>
          <w:sz w:val="28"/>
          <w:szCs w:val="28"/>
        </w:rPr>
        <w:t xml:space="preserve">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ст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>
        <w:rPr>
          <w:i/>
          <w:color w:val="000000"/>
          <w:sz w:val="28"/>
          <w:szCs w:val="28"/>
        </w:rPr>
        <w:t>К</w:t>
      </w:r>
      <w:r>
        <w:rPr>
          <w:i/>
          <w:color w:val="000000"/>
          <w:sz w:val="28"/>
          <w:szCs w:val="28"/>
          <w:vertAlign w:val="subscript"/>
        </w:rPr>
        <w:t>ол</w:t>
      </w:r>
      <w:r>
        <w:rPr>
          <w:i/>
          <w:color w:val="000000"/>
          <w:sz w:val="28"/>
          <w:szCs w:val="28"/>
        </w:rPr>
        <w:t xml:space="preserve">=…шт.                                                                                      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i/>
          <w:color w:val="000000"/>
          <w:sz w:val="28"/>
          <w:szCs w:val="28"/>
        </w:rPr>
        <w:t>∑</w:t>
      </w:r>
      <w:proofErr w:type="spellStart"/>
      <w:r>
        <w:rPr>
          <w:i/>
          <w:color w:val="000000"/>
          <w:sz w:val="28"/>
          <w:szCs w:val="28"/>
        </w:rPr>
        <w:t>F</w:t>
      </w:r>
      <w:r>
        <w:rPr>
          <w:i/>
          <w:color w:val="000000"/>
          <w:sz w:val="28"/>
          <w:szCs w:val="28"/>
          <w:vertAlign w:val="subscript"/>
        </w:rPr>
        <w:t>ст</w:t>
      </w:r>
      <w:proofErr w:type="spellEnd"/>
      <w:r>
        <w:rPr>
          <w:i/>
          <w:color w:val="000000"/>
          <w:sz w:val="28"/>
          <w:szCs w:val="28"/>
        </w:rPr>
        <w:t>=…см</w:t>
      </w:r>
      <w:proofErr w:type="gramStart"/>
      <w:r>
        <w:rPr>
          <w:i/>
          <w:color w:val="000000"/>
          <w:sz w:val="28"/>
          <w:szCs w:val="28"/>
          <w:vertAlign w:val="superscript"/>
        </w:rPr>
        <w:t>2</w:t>
      </w:r>
      <w:proofErr w:type="gramEnd"/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1.6. Элементы литниковой системы: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i/>
          <w:color w:val="000000"/>
        </w:rPr>
        <w:t>1</w:t>
      </w:r>
      <w:r>
        <w:rPr>
          <w:color w:val="000000"/>
        </w:rPr>
        <w:t xml:space="preserve"> – питатели; </w:t>
      </w:r>
      <w:r>
        <w:rPr>
          <w:i/>
          <w:color w:val="000000"/>
        </w:rPr>
        <w:t>2</w:t>
      </w:r>
      <w:r>
        <w:rPr>
          <w:color w:val="000000"/>
        </w:rPr>
        <w:t xml:space="preserve"> – шлакоуловитель; </w:t>
      </w:r>
      <w:r>
        <w:rPr>
          <w:i/>
          <w:color w:val="000000"/>
        </w:rPr>
        <w:t>3</w:t>
      </w:r>
      <w:r>
        <w:rPr>
          <w:color w:val="000000"/>
        </w:rPr>
        <w:t xml:space="preserve"> – стояк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Шлакоуловитель представляет собой в поперечном сечении трапецию и служит для задержания шлака и неметаллических включений, попавших в стояк.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Питатели </w:t>
      </w:r>
      <w:r>
        <w:rPr>
          <w:i/>
          <w:color w:val="000000"/>
          <w:sz w:val="28"/>
          <w:szCs w:val="28"/>
        </w:rPr>
        <w:t>1,</w:t>
      </w:r>
      <w:r>
        <w:rPr>
          <w:color w:val="000000"/>
          <w:sz w:val="28"/>
          <w:szCs w:val="28"/>
        </w:rPr>
        <w:t xml:space="preserve"> расположенные в нижней половине формы, имеют также трапецеидальное сечение и служат для плавного подвода металла непосредственно к отливке из шлакоуловителя.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Выпор представляет собой конический стержень, который устанавливается в самой высокой части модели и служит для вывода из формы воздуха, газов, шлака.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Соотношение суммы площадей поперечного сечения стояка, шлакоуловителей и питателей должно отвечать следующей зависимости: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1364615" cy="316865"/>
            <wp:effectExtent l="0" t="0" r="0" b="0"/>
            <wp:docPr id="1050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3168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br w:type="page"/>
      </w:r>
      <w:r>
        <w:rPr>
          <w:i/>
          <w:color w:val="000000"/>
          <w:sz w:val="28"/>
          <w:szCs w:val="28"/>
        </w:rPr>
        <w:lastRenderedPageBreak/>
        <w:t>1.1.6. Приготовление формовочной и стержневой смесей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Литейные формы изготовляют из формовочных смесей. Основными формовочными материалами являются кварцевый песок и огнеупорная глина, вспомогательными – молотый уголь, древесный пек, опилки и др.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Формовочные смеси подразделяются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единые, облицовочные, наполнительные, стержневые. Облицовочные смеси приготовляются только из свежих материалов и  применяются для изготовления высококачественных отливок (например, художественных). Наполнительные смеси для большей газопроницаемости имеют грубый зерновой состав. В состав всех единых формовочных смесей вводят отработанную формовочную смесь в количестве 70...90 % в зависимости от вида литья. Все формовочные смеси должны обладать комплексом специальных свойств: пластичностью, прочностью, газопроницаемостью, податливостью, огнеупорностью. Свойства формовочных смесей определяются влажностью, содержанием глины (не должно превышать 10 %), величиной и формой зерен песка. Влажность формовочных смесей должна быть в пределах 5 % к общей массе сухих материалов.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Процесс приготовления формовочных смесей сводится к перемешиванию подготовленных составляющих смеси в бегунах или специальных смесителях. Компоненты смеси перемешиваются вначале в сухом состоянии, а затем –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при добавлении воды. Готовая формовочная смесь из бегунов поступает в отстойники, из них  – в разрыхлитель, оттуда – к месту изготовления форм. Стержневые смеси приготавливаются аналогичным способом. При этом они должны обладать более высокими показателями прочности, огнеупорности и газопроницаемости, а также лучшей податливостью и </w:t>
      </w:r>
      <w:proofErr w:type="spellStart"/>
      <w:r>
        <w:rPr>
          <w:color w:val="000000"/>
          <w:sz w:val="28"/>
          <w:szCs w:val="28"/>
        </w:rPr>
        <w:t>выбиваемостью</w:t>
      </w:r>
      <w:proofErr w:type="spellEnd"/>
      <w:r>
        <w:rPr>
          <w:color w:val="000000"/>
          <w:sz w:val="28"/>
          <w:szCs w:val="28"/>
        </w:rPr>
        <w:t>, что обеспечивается специальными добавками (опилками, торфом и др.).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1.1.7. Изготовление стержней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Процесс изготовления стержней состоит из следующих операций: формовка сырого стержня; сушка; отделка и окраска сухого стержня.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ручном изготовлении стержня внутреннюю полость стержневого ящика смазывают керосином или машинным маслом, наполняют стержневой смесью и уплотняют, металлической иглой делают вентиляционный канал и извлекают стержень из ящика. Готовый стержень устанавливают на сушильную плиту и отправляют в сушильную печь. Сушка производится при температуре 350…400 °С. Тонкие, ажурные стержни для повышения прочности армируют проволокой.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1.1.8. Изготовление литейной формы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 степени механизации различают ручную и машинную формовку. Ручная формовка применяется для получения небольших партий отливок в условиях единичного производства или очень крупных отливок. Наиболее распространённым способом изготовления литейных форм является формовка в парных опоках по разъемным моделям.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DD0DE4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 xml:space="preserve">          </w:t>
      </w:r>
      <w:r>
        <w:rPr>
          <w:i/>
          <w:color w:val="000000"/>
          <w:sz w:val="28"/>
          <w:szCs w:val="28"/>
        </w:rPr>
        <w:t xml:space="preserve">2            3      4        </w:t>
      </w:r>
      <w:r>
        <w:rPr>
          <w:color w:val="000000"/>
        </w:rPr>
        <w:t xml:space="preserve">    </w:t>
      </w:r>
      <w:r>
        <w:rPr>
          <w:i/>
          <w:color w:val="000000"/>
          <w:sz w:val="28"/>
          <w:szCs w:val="28"/>
        </w:rPr>
        <w:t xml:space="preserve"> 5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</w:t>
      </w:r>
      <w:r w:rsidR="00DD0DE4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                                    </w:t>
      </w:r>
      <w:r>
        <w:rPr>
          <w:i/>
          <w:color w:val="000000"/>
          <w:sz w:val="28"/>
          <w:szCs w:val="28"/>
        </w:rPr>
        <w:t>6</w:t>
      </w:r>
      <w:r>
        <w:rPr>
          <w:noProof/>
        </w:rPr>
        <w:drawing>
          <wp:anchor distT="0" distB="0" distL="0" distR="0" simplePos="0" relativeHeight="251664384" behindDoc="1" locked="0" layoutInCell="1" hidden="0" allowOverlap="1">
            <wp:simplePos x="0" y="0"/>
            <wp:positionH relativeFrom="column">
              <wp:posOffset>1371600</wp:posOffset>
            </wp:positionH>
            <wp:positionV relativeFrom="paragraph">
              <wp:posOffset>-29209</wp:posOffset>
            </wp:positionV>
            <wp:extent cx="3086100" cy="1654175"/>
            <wp:effectExtent l="0" t="0" r="0" b="0"/>
            <wp:wrapNone/>
            <wp:docPr id="104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654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DD0DE4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</w:t>
      </w:r>
      <w:r>
        <w:rPr>
          <w:i/>
          <w:color w:val="000000"/>
          <w:sz w:val="28"/>
          <w:szCs w:val="28"/>
        </w:rPr>
        <w:t xml:space="preserve">1                                                                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DD0DE4" w:rsidRDefault="00DD0DE4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DD0DE4" w:rsidRDefault="00DD0DE4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DD0DE4" w:rsidRDefault="00DD0DE4" w:rsidP="00DD0D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i/>
          <w:color w:val="000000"/>
        </w:rPr>
        <w:t xml:space="preserve">                 </w:t>
      </w:r>
      <w:r>
        <w:rPr>
          <w:i/>
          <w:color w:val="000000"/>
        </w:rPr>
        <w:t xml:space="preserve">                         8    9        10 </w:t>
      </w:r>
      <w:r>
        <w:rPr>
          <w:i/>
          <w:color w:val="000000"/>
        </w:rPr>
        <w:t xml:space="preserve">    </w:t>
      </w:r>
      <w:r>
        <w:rPr>
          <w:i/>
          <w:color w:val="000000"/>
        </w:rPr>
        <w:t xml:space="preserve">   </w:t>
      </w:r>
      <w:r>
        <w:rPr>
          <w:i/>
          <w:color w:val="000000"/>
        </w:rPr>
        <w:t xml:space="preserve">     11       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       12          13     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i/>
          <w:color w:val="000000"/>
        </w:rPr>
        <w:t xml:space="preserve">             </w:t>
      </w:r>
      <w:r w:rsidR="00DD0DE4">
        <w:rPr>
          <w:i/>
          <w:color w:val="000000"/>
        </w:rPr>
        <w:t xml:space="preserve">                </w:t>
      </w:r>
      <w:r>
        <w:rPr>
          <w:i/>
          <w:color w:val="000000"/>
        </w:rPr>
        <w:t xml:space="preserve">     7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295910</wp:posOffset>
                </wp:positionV>
                <wp:extent cx="342900" cy="342900"/>
                <wp:effectExtent l="0" t="0" r="0" b="0"/>
                <wp:wrapNone/>
                <wp:docPr id="1035" name="Поле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1" w:hanging="3"/>
                            </w:pPr>
                            <w:r w:rsidRPr="15425378" w:rsidDel="FFFFFFFF">
                              <w:rPr>
                                <w:i/>
                                <w:sz w:val="28"/>
                                <w:szCs w:val="28"/>
                              </w:rPr>
                              <w:t>б</w:t>
                            </w:r>
                            <w:r w:rsidRPr="00940194" w:rsidDel="FFFFFFFF">
                              <w:rPr>
                                <w:i/>
                              </w:rPr>
                              <w:t>)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295910</wp:posOffset>
                </wp:positionV>
                <wp:extent cx="342900" cy="342900"/>
                <wp:effectExtent b="0" l="0" r="0" t="0"/>
                <wp:wrapNone/>
                <wp:docPr id="103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3267709</wp:posOffset>
                </wp:positionV>
                <wp:extent cx="342900" cy="342900"/>
                <wp:effectExtent l="0" t="0" r="0" b="0"/>
                <wp:wrapNone/>
                <wp:docPr id="1034" name="Поле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1" w:hanging="3"/>
                            </w:pPr>
                            <w:r w:rsidRPr="15425378" w:rsidDel="FFFFFFFF">
                              <w:rPr>
                                <w:i/>
                                <w:sz w:val="28"/>
                                <w:szCs w:val="28"/>
                              </w:rPr>
                              <w:t>в</w:t>
                            </w:r>
                            <w:r w:rsidRPr="00940194" w:rsidDel="FFFFFFFF">
                              <w:rPr>
                                <w:i/>
                              </w:rPr>
                              <w:t>)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3267709</wp:posOffset>
                </wp:positionV>
                <wp:extent cx="342900" cy="342900"/>
                <wp:effectExtent b="0" l="0" r="0" t="0"/>
                <wp:wrapNone/>
                <wp:docPr id="103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-2447289</wp:posOffset>
                </wp:positionV>
                <wp:extent cx="342900" cy="342900"/>
                <wp:effectExtent l="0" t="0" r="0" b="0"/>
                <wp:wrapNone/>
                <wp:docPr id="1033" name="Поле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1" w:hanging="3"/>
                            </w:pPr>
                            <w:r w:rsidRPr="15425378" w:rsidDel="FFFFFFFF">
                              <w:rPr>
                                <w:i/>
                                <w:sz w:val="28"/>
                                <w:szCs w:val="28"/>
                              </w:rPr>
                              <w:t>а</w:t>
                            </w:r>
                            <w:r w:rsidRPr="00940194" w:rsidDel="FFFFFFFF">
                              <w:rPr>
                                <w:i/>
                              </w:rPr>
                              <w:t>)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-2447289</wp:posOffset>
                </wp:positionV>
                <wp:extent cx="342900" cy="342900"/>
                <wp:effectExtent b="0" l="0" r="0" t="0"/>
                <wp:wrapNone/>
                <wp:docPr id="103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i/>
          <w:color w:val="000000"/>
        </w:rPr>
        <w:t xml:space="preserve">                                                 </w:t>
      </w:r>
      <w:r w:rsidR="00DD0DE4">
        <w:rPr>
          <w:i/>
          <w:color w:val="000000"/>
        </w:rPr>
        <w:t xml:space="preserve">              </w:t>
      </w:r>
      <w:r>
        <w:rPr>
          <w:i/>
          <w:color w:val="000000"/>
        </w:rPr>
        <w:t xml:space="preserve">           14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8480" behindDoc="1" locked="0" layoutInCell="1" hidden="0" allowOverlap="1">
            <wp:simplePos x="0" y="0"/>
            <wp:positionH relativeFrom="column">
              <wp:posOffset>1257300</wp:posOffset>
            </wp:positionH>
            <wp:positionV relativeFrom="paragraph">
              <wp:posOffset>-4166233</wp:posOffset>
            </wp:positionV>
            <wp:extent cx="3221990" cy="2658110"/>
            <wp:effectExtent l="0" t="0" r="0" b="0"/>
            <wp:wrapNone/>
            <wp:docPr id="104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1990" cy="26581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9504" behindDoc="1" locked="0" layoutInCell="1" hidden="0" allowOverlap="1">
            <wp:simplePos x="0" y="0"/>
            <wp:positionH relativeFrom="column">
              <wp:posOffset>1257300</wp:posOffset>
            </wp:positionH>
            <wp:positionV relativeFrom="paragraph">
              <wp:posOffset>-1245234</wp:posOffset>
            </wp:positionV>
            <wp:extent cx="3107055" cy="2339975"/>
            <wp:effectExtent l="0" t="0" r="0" b="0"/>
            <wp:wrapNone/>
            <wp:docPr id="1043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7055" cy="2339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     Рис. 1.7. </w:t>
      </w:r>
      <w:proofErr w:type="gramStart"/>
      <w:r>
        <w:rPr>
          <w:b/>
          <w:color w:val="000000"/>
        </w:rPr>
        <w:t>Этапы формовки</w:t>
      </w:r>
      <w:r>
        <w:rPr>
          <w:color w:val="000000"/>
        </w:rPr>
        <w:t xml:space="preserve">:  </w:t>
      </w:r>
      <w:r>
        <w:rPr>
          <w:i/>
          <w:color w:val="000000"/>
        </w:rPr>
        <w:t>а</w:t>
      </w:r>
      <w:r>
        <w:rPr>
          <w:color w:val="000000"/>
        </w:rPr>
        <w:t xml:space="preserve"> – нижней опоки;  </w:t>
      </w:r>
      <w:r>
        <w:rPr>
          <w:i/>
          <w:color w:val="000000"/>
        </w:rPr>
        <w:t>б</w:t>
      </w:r>
      <w:r>
        <w:rPr>
          <w:color w:val="000000"/>
        </w:rPr>
        <w:t xml:space="preserve"> – верхней опоки;  </w:t>
      </w:r>
      <w:r>
        <w:rPr>
          <w:i/>
          <w:color w:val="000000"/>
        </w:rPr>
        <w:t>в</w:t>
      </w:r>
      <w:r>
        <w:rPr>
          <w:color w:val="000000"/>
        </w:rPr>
        <w:t xml:space="preserve"> – форма в сборе; </w:t>
      </w:r>
      <w:proofErr w:type="gramEnd"/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lastRenderedPageBreak/>
        <w:t>1</w:t>
      </w:r>
      <w:r>
        <w:rPr>
          <w:color w:val="000000"/>
        </w:rPr>
        <w:t xml:space="preserve"> – </w:t>
      </w:r>
      <w:proofErr w:type="spellStart"/>
      <w:r>
        <w:rPr>
          <w:color w:val="000000"/>
        </w:rPr>
        <w:t>подмодельная</w:t>
      </w:r>
      <w:proofErr w:type="spellEnd"/>
      <w:r>
        <w:rPr>
          <w:color w:val="000000"/>
        </w:rPr>
        <w:t xml:space="preserve"> плита;   </w:t>
      </w:r>
      <w:r>
        <w:rPr>
          <w:i/>
          <w:color w:val="000000"/>
        </w:rPr>
        <w:t>2</w:t>
      </w:r>
      <w:r>
        <w:rPr>
          <w:color w:val="000000"/>
        </w:rPr>
        <w:t xml:space="preserve"> – питатель, </w:t>
      </w:r>
      <w:r>
        <w:rPr>
          <w:i/>
          <w:color w:val="000000"/>
        </w:rPr>
        <w:t>3</w:t>
      </w:r>
      <w:r>
        <w:rPr>
          <w:color w:val="000000"/>
        </w:rPr>
        <w:t xml:space="preserve"> – нижняя </w:t>
      </w:r>
      <w:proofErr w:type="spellStart"/>
      <w:r>
        <w:rPr>
          <w:color w:val="000000"/>
        </w:rPr>
        <w:t>полумодель</w:t>
      </w:r>
      <w:proofErr w:type="spellEnd"/>
      <w:r>
        <w:rPr>
          <w:color w:val="000000"/>
        </w:rPr>
        <w:t xml:space="preserve">; </w:t>
      </w:r>
      <w:r>
        <w:rPr>
          <w:i/>
          <w:color w:val="000000"/>
        </w:rPr>
        <w:t>4</w:t>
      </w:r>
      <w:r>
        <w:rPr>
          <w:color w:val="000000"/>
        </w:rPr>
        <w:t xml:space="preserve"> – формовочная смесь;   </w:t>
      </w:r>
      <w:r>
        <w:rPr>
          <w:i/>
          <w:color w:val="000000"/>
        </w:rPr>
        <w:t>5</w:t>
      </w:r>
      <w:r>
        <w:rPr>
          <w:color w:val="000000"/>
        </w:rPr>
        <w:t xml:space="preserve"> – вентиляционные </w:t>
      </w:r>
      <w:proofErr w:type="spellStart"/>
      <w:r>
        <w:rPr>
          <w:color w:val="000000"/>
        </w:rPr>
        <w:t>наколы</w:t>
      </w:r>
      <w:proofErr w:type="spellEnd"/>
      <w:r>
        <w:rPr>
          <w:color w:val="000000"/>
        </w:rPr>
        <w:t xml:space="preserve">; </w:t>
      </w:r>
      <w:r>
        <w:rPr>
          <w:i/>
          <w:color w:val="000000"/>
        </w:rPr>
        <w:t>6</w:t>
      </w:r>
      <w:r>
        <w:rPr>
          <w:color w:val="000000"/>
        </w:rPr>
        <w:t xml:space="preserve"> – нижняя опока;  7 – центрирующие штыри; </w:t>
      </w:r>
      <w:r>
        <w:rPr>
          <w:i/>
          <w:color w:val="000000"/>
        </w:rPr>
        <w:t>8</w:t>
      </w:r>
      <w:r>
        <w:rPr>
          <w:color w:val="000000"/>
        </w:rPr>
        <w:t xml:space="preserve"> – модель   шлакоуловителя; </w:t>
      </w:r>
      <w:r>
        <w:rPr>
          <w:i/>
          <w:color w:val="000000"/>
        </w:rPr>
        <w:t>9</w:t>
      </w:r>
      <w:r>
        <w:rPr>
          <w:color w:val="000000"/>
        </w:rPr>
        <w:t xml:space="preserve"> – модель стояка;</w:t>
      </w:r>
      <w:r>
        <w:rPr>
          <w:i/>
          <w:color w:val="000000"/>
        </w:rPr>
        <w:t xml:space="preserve"> 10</w:t>
      </w:r>
      <w:r>
        <w:rPr>
          <w:color w:val="000000"/>
        </w:rPr>
        <w:t xml:space="preserve"> – литниковая чаша; </w:t>
      </w:r>
      <w:r>
        <w:rPr>
          <w:i/>
          <w:color w:val="000000"/>
        </w:rPr>
        <w:t>11</w:t>
      </w:r>
      <w:r>
        <w:rPr>
          <w:color w:val="000000"/>
        </w:rPr>
        <w:t xml:space="preserve"> – верхняя </w:t>
      </w:r>
      <w:proofErr w:type="spellStart"/>
      <w:r>
        <w:rPr>
          <w:color w:val="000000"/>
        </w:rPr>
        <w:t>полумодель</w:t>
      </w:r>
      <w:proofErr w:type="spellEnd"/>
      <w:r>
        <w:rPr>
          <w:color w:val="000000"/>
        </w:rPr>
        <w:t>;</w:t>
      </w:r>
      <w:r>
        <w:rPr>
          <w:i/>
          <w:color w:val="000000"/>
        </w:rPr>
        <w:t xml:space="preserve">      12</w:t>
      </w:r>
      <w:r>
        <w:rPr>
          <w:color w:val="000000"/>
        </w:rPr>
        <w:t xml:space="preserve">  – модель выпора;  </w:t>
      </w:r>
      <w:r>
        <w:rPr>
          <w:i/>
          <w:color w:val="000000"/>
        </w:rPr>
        <w:t>13</w:t>
      </w:r>
      <w:r>
        <w:rPr>
          <w:color w:val="000000"/>
        </w:rPr>
        <w:t xml:space="preserve"> –  верхняя опока;  </w:t>
      </w:r>
      <w:r>
        <w:rPr>
          <w:i/>
          <w:color w:val="000000"/>
        </w:rPr>
        <w:t>14</w:t>
      </w:r>
      <w:r>
        <w:rPr>
          <w:color w:val="000000"/>
        </w:rPr>
        <w:t xml:space="preserve"> – стержень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Опоки представляют собой металлические рамки, в которых изготавливают литейную форму. Изготовление литейной формы производится в следующем порядке (рис. 1.7):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модельную плиту устанавливают нижнюю половину модели, модели питателей и опоку, в которую засыпают и уплотняют формовочную смесь;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опоку поворачивают на 180° и устанавливают вторую половину модели, модели шлакоуловителя, стояка и выпора;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по центрирующим штырям устанавливают верхнюю опоку, засыпают в неё и уплотняют формовочную смесь;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после извлечения моделей стояка и выпора форму раскрывают;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из </w:t>
      </w:r>
      <w:proofErr w:type="spellStart"/>
      <w:r>
        <w:rPr>
          <w:color w:val="000000"/>
          <w:sz w:val="28"/>
          <w:szCs w:val="28"/>
        </w:rPr>
        <w:t>полуформ</w:t>
      </w:r>
      <w:proofErr w:type="spellEnd"/>
      <w:r>
        <w:rPr>
          <w:color w:val="000000"/>
          <w:sz w:val="28"/>
          <w:szCs w:val="28"/>
        </w:rPr>
        <w:t xml:space="preserve"> извлекают модели изделия, модели шлакоуловителя и питателей;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в </w:t>
      </w:r>
      <w:proofErr w:type="gramStart"/>
      <w:r>
        <w:rPr>
          <w:color w:val="000000"/>
          <w:sz w:val="28"/>
          <w:szCs w:val="28"/>
        </w:rPr>
        <w:t>нижнюю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полуформу</w:t>
      </w:r>
      <w:proofErr w:type="spellEnd"/>
      <w:r>
        <w:rPr>
          <w:color w:val="000000"/>
          <w:sz w:val="28"/>
          <w:szCs w:val="28"/>
        </w:rPr>
        <w:t xml:space="preserve"> устанавливают стержень;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накрывают нижнюю половину формы верхней.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заливки жидкого металла и его затвердевания литейную форму разрушают и извлекают готовую отливку (рис. 1.8).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16"/>
          <w:szCs w:val="16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noProof/>
          <w:color w:val="000000"/>
        </w:rPr>
        <w:drawing>
          <wp:inline distT="0" distB="0" distL="114300" distR="114300">
            <wp:extent cx="3316605" cy="2082165"/>
            <wp:effectExtent l="0" t="0" r="0" b="0"/>
            <wp:docPr id="1052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6605" cy="2082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1.8. Готовая отливка с литниковой системой: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i/>
          <w:color w:val="000000"/>
        </w:rPr>
        <w:t>1</w:t>
      </w:r>
      <w:r>
        <w:rPr>
          <w:color w:val="000000"/>
        </w:rPr>
        <w:t xml:space="preserve"> – отливка;  </w:t>
      </w:r>
      <w:r>
        <w:rPr>
          <w:i/>
          <w:color w:val="000000"/>
        </w:rPr>
        <w:t>2</w:t>
      </w:r>
      <w:r>
        <w:rPr>
          <w:color w:val="000000"/>
        </w:rPr>
        <w:t xml:space="preserve"> – питатели;  </w:t>
      </w:r>
      <w:r>
        <w:rPr>
          <w:i/>
          <w:color w:val="000000"/>
        </w:rPr>
        <w:t>3</w:t>
      </w:r>
      <w:r>
        <w:rPr>
          <w:color w:val="000000"/>
        </w:rPr>
        <w:t xml:space="preserve"> – шлакоуловитель;  </w:t>
      </w:r>
      <w:r>
        <w:rPr>
          <w:i/>
          <w:color w:val="000000"/>
        </w:rPr>
        <w:t>4</w:t>
      </w:r>
      <w:r>
        <w:rPr>
          <w:color w:val="000000"/>
        </w:rPr>
        <w:t xml:space="preserve"> – стояк;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i/>
          <w:color w:val="000000"/>
        </w:rPr>
        <w:t xml:space="preserve">                          5</w:t>
      </w:r>
      <w:r>
        <w:rPr>
          <w:color w:val="000000"/>
        </w:rPr>
        <w:t xml:space="preserve"> – литниковая чаша;  </w:t>
      </w:r>
      <w:r>
        <w:rPr>
          <w:i/>
          <w:color w:val="000000"/>
        </w:rPr>
        <w:t>6</w:t>
      </w:r>
      <w:r>
        <w:rPr>
          <w:color w:val="000000"/>
        </w:rPr>
        <w:t xml:space="preserve"> – выпор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Готовые отливки после отделения литников, выпора и очистки подвергаются контролю с целью выявления дефектов и установления причин их образования. Видами </w:t>
      </w:r>
      <w:proofErr w:type="gramStart"/>
      <w:r>
        <w:rPr>
          <w:color w:val="000000"/>
          <w:sz w:val="28"/>
          <w:szCs w:val="28"/>
        </w:rPr>
        <w:t>брака отливок</w:t>
      </w:r>
      <w:proofErr w:type="gramEnd"/>
      <w:r>
        <w:rPr>
          <w:color w:val="000000"/>
          <w:sz w:val="28"/>
          <w:szCs w:val="28"/>
        </w:rPr>
        <w:t xml:space="preserve"> считаются: газовые, земляные, шлаковые и усадочные раковины, трещины, </w:t>
      </w:r>
      <w:proofErr w:type="spellStart"/>
      <w:r>
        <w:rPr>
          <w:color w:val="000000"/>
          <w:sz w:val="28"/>
          <w:szCs w:val="28"/>
        </w:rPr>
        <w:t>непроливы</w:t>
      </w:r>
      <w:proofErr w:type="spellEnd"/>
      <w:r>
        <w:rPr>
          <w:color w:val="000000"/>
          <w:sz w:val="28"/>
          <w:szCs w:val="28"/>
        </w:rPr>
        <w:t>, заливы в плоскости разъема, коробление, искажение размеров и веса, газовая пористость.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Порядок проведения работы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Вычертить эскизы детали втулка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хомут (рис. 1.9 или рис. 1.10)</w:t>
      </w:r>
      <w:r>
        <w:rPr>
          <w:color w:val="000000"/>
        </w:rPr>
        <w:t>. З</w:t>
      </w:r>
      <w:r>
        <w:rPr>
          <w:color w:val="000000"/>
          <w:sz w:val="28"/>
          <w:szCs w:val="28"/>
        </w:rPr>
        <w:t>адание для каждой бригады даёт преподаватель.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154940</wp:posOffset>
                </wp:positionV>
                <wp:extent cx="1951990" cy="441960"/>
                <wp:effectExtent l="0" t="0" r="0" b="0"/>
                <wp:wrapNone/>
                <wp:docPr id="1032" name="Поле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99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13785494" w:rsidDel="FFFFFFFF">
                              <w:rPr>
                                <w:i/>
                              </w:rPr>
                              <w:t>«Втулка»</w:t>
                            </w:r>
                          </w:p>
                          <w:p w:rsidR="004F71D7" w:rsidRDefault="00062917" w:rsidP="00057E54">
                            <w:pPr>
                              <w:ind w:left="0" w:hanging="2"/>
                              <w:jc w:val="center"/>
                            </w:pPr>
                            <w:r w:rsidRPr="13785494" w:rsidDel="FFFFFFFF">
                              <w:rPr>
                                <w:i/>
                              </w:rPr>
                              <w:t>АЛ</w:t>
                            </w:r>
                            <w:proofErr w:type="gramStart"/>
                            <w:r w:rsidRPr="13785494" w:rsidDel="FFFFFFFF">
                              <w:rPr>
                                <w:i/>
                              </w:rPr>
                              <w:t>2</w:t>
                            </w:r>
                            <w:proofErr w:type="gramEnd"/>
                            <w:r w:rsidRPr="13785494" w:rsidDel="FFFFFFFF">
                              <w:rPr>
                                <w:i/>
                              </w:rPr>
                              <w:t>,ГОСТ 1583-93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4170680</wp:posOffset>
                </wp:positionH>
                <wp:positionV relativeFrom="paragraph">
                  <wp:posOffset>154940</wp:posOffset>
                </wp:positionV>
                <wp:extent cx="1951990" cy="441960"/>
                <wp:effectExtent b="0" l="0" r="0" t="0"/>
                <wp:wrapNone/>
                <wp:docPr id="103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1990" cy="4419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4169409</wp:posOffset>
                </wp:positionH>
                <wp:positionV relativeFrom="paragraph">
                  <wp:posOffset>153670</wp:posOffset>
                </wp:positionV>
                <wp:extent cx="1951990" cy="500380"/>
                <wp:effectExtent l="0" t="0" r="0" b="0"/>
                <wp:wrapNone/>
                <wp:docPr id="1031" name="Поле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99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D7" w:rsidRDefault="00062917" w:rsidP="00057E54">
                            <w:pPr>
                              <w:ind w:left="1" w:hanging="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FFFFFFFF" w:rsidDel="FFFFFFFF">
                              <w:rPr>
                                <w:i/>
                                <w:sz w:val="28"/>
                                <w:szCs w:val="28"/>
                              </w:rPr>
                              <w:t>«Втулка»</w:t>
                            </w:r>
                            <w:r w:rsidRPr="08535061" w:rsidDel="FFFFFFFF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</w:t>
                            </w:r>
                            <w:r w:rsidRPr="FFFFFFFF" w:rsidDel="FFFFFFFF">
                              <w:rPr>
                                <w:i/>
                                <w:sz w:val="28"/>
                                <w:szCs w:val="28"/>
                              </w:rPr>
                              <w:t>АЛ</w:t>
                            </w:r>
                            <w:proofErr w:type="gramStart"/>
                            <w:r w:rsidRPr="08535061" w:rsidDel="FFFFFFFF">
                              <w:rPr>
                                <w:i/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8535061" w:rsidDel="FFFFFFFF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 ГОСТ </w:t>
                            </w:r>
                            <w:r w:rsidRPr="FFFFFFFF" w:rsidDel="FFFFFFFF">
                              <w:rPr>
                                <w:i/>
                                <w:sz w:val="28"/>
                                <w:szCs w:val="28"/>
                              </w:rPr>
                              <w:t>1583-93</w:t>
                            </w:r>
                          </w:p>
                          <w:p w:rsidR="004F71D7" w:rsidRDefault="004F71D7" w:rsidP="00057E54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4169409</wp:posOffset>
                </wp:positionH>
                <wp:positionV relativeFrom="paragraph">
                  <wp:posOffset>153670</wp:posOffset>
                </wp:positionV>
                <wp:extent cx="1951990" cy="500380"/>
                <wp:effectExtent b="0" l="0" r="0" t="0"/>
                <wp:wrapNone/>
                <wp:docPr id="103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1990" cy="5003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hidden="0" allowOverlap="1">
            <wp:simplePos x="0" y="0"/>
            <wp:positionH relativeFrom="column">
              <wp:posOffset>1143000</wp:posOffset>
            </wp:positionH>
            <wp:positionV relativeFrom="paragraph">
              <wp:posOffset>-2682874</wp:posOffset>
            </wp:positionV>
            <wp:extent cx="3200400" cy="2727960"/>
            <wp:effectExtent l="0" t="0" r="0" b="0"/>
            <wp:wrapNone/>
            <wp:docPr id="1048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7279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Рис. 1.9. Эскиз детали втулка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94615</wp:posOffset>
                </wp:positionV>
                <wp:extent cx="5842635" cy="3206115"/>
                <wp:effectExtent l="0" t="0" r="0" b="0"/>
                <wp:wrapNone/>
                <wp:docPr id="1036" name="Группа 1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2635" cy="3206115"/>
                          <a:chOff x="1881" y="774"/>
                          <a:chExt cx="9201" cy="5282"/>
                        </a:xfrm>
                      </wpg:grpSpPr>
                      <wps:wsp>
                        <wps:cNvPr id="1" name="Поле 1"/>
                        <wps:cNvSpPr txBox="1"/>
                        <wps:spPr>
                          <a:xfrm>
                            <a:off x="2601" y="5510"/>
                            <a:ext cx="6660" cy="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F71D7" w:rsidRDefault="00062917" w:rsidP="00057E54">
                              <w:pPr>
                                <w:ind w:left="0" w:hanging="2"/>
                                <w:jc w:val="center"/>
                              </w:pPr>
                              <w:r w:rsidRPr="02187554" w:rsidDel="FFFFFFFF">
                                <w:rPr>
                                  <w:b/>
                                </w:rPr>
                                <w:t>Рис. 1.10</w:t>
                              </w:r>
                              <w:r w:rsidRPr="FFFFFFFF" w:rsidDel="FFFFFFFF">
                                <w:rPr>
                                  <w:b/>
                                </w:rPr>
                                <w:t>. Эскиз детали хомут</w:t>
                              </w:r>
                            </w:p>
                            <w:p w:rsidR="004F71D7" w:rsidRDefault="004F71D7" w:rsidP="00057E54">
                              <w:pPr>
                                <w:ind w:left="0" w:hanging="2"/>
                              </w:pPr>
                            </w:p>
                            <w:p w:rsidR="004F71D7" w:rsidRDefault="004F71D7" w:rsidP="00057E54">
                              <w:pPr>
                                <w:ind w:left="0" w:hanging="2"/>
                              </w:pPr>
                            </w:p>
                          </w:txbxContent>
                        </wps:txbx>
                        <wps:bodyPr/>
                      </wps:wsp>
                      <wpg:grpSp>
                        <wpg:cNvPr id="2" name="Группа 2"/>
                        <wpg:cNvGrpSpPr/>
                        <wpg:grpSpPr>
                          <a:xfrm>
                            <a:off x="1881" y="774"/>
                            <a:ext cx="9201" cy="4767"/>
                            <a:chOff x="1881" y="774"/>
                            <a:chExt cx="9201" cy="4767"/>
                          </a:xfrm>
                        </wpg:grpSpPr>
                        <pic:pic xmlns:pic="http://schemas.openxmlformats.org/drawingml/2006/picture">
                          <pic:nvPicPr>
                            <pic:cNvPr id="1149" name="Picture1149"/>
                            <pic:cNvPicPr/>
                          </pic:nvPicPr>
                          <pic:blipFill>
                            <a:blip r:embed="rId28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81" y="774"/>
                              <a:ext cx="7734" cy="4767"/>
                            </a:xfrm>
                            <a:prstGeom prst="rect">
                              <a:avLst/>
                            </a:prstGeom>
                            <a:ln w="9525" cap="flat" cmpd="sng" algn="ctr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3" name="Поле 3"/>
                          <wps:cNvSpPr txBox="1"/>
                          <wps:spPr>
                            <a:xfrm>
                              <a:off x="8607" y="3772"/>
                              <a:ext cx="2475" cy="9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 algn="ctr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71D7" w:rsidRDefault="00062917" w:rsidP="00057E54">
                                <w:pPr>
                                  <w:ind w:left="0" w:hanging="2"/>
                                  <w:jc w:val="center"/>
                                </w:pPr>
                                <w:r w:rsidRPr="13785494" w:rsidDel="FFFFFFFF">
                                  <w:t>«Хомут»</w:t>
                                </w:r>
                              </w:p>
                              <w:p w:rsidR="004F71D7" w:rsidRDefault="00062917" w:rsidP="00057E54">
                                <w:pPr>
                                  <w:ind w:left="0" w:hanging="2"/>
                                  <w:jc w:val="center"/>
                                </w:pPr>
                                <w:r w:rsidRPr="13785494" w:rsidDel="FFFFFFFF">
                                  <w:rPr>
                                    <w:i/>
                                  </w:rPr>
                                  <w:t>АЛ</w:t>
                                </w:r>
                                <w:proofErr w:type="gramStart"/>
                                <w:r w:rsidRPr="13785494" w:rsidDel="FFFFFFFF">
                                  <w:rPr>
                                    <w:i/>
                                  </w:rPr>
                                  <w:t>2</w:t>
                                </w:r>
                                <w:proofErr w:type="gramEnd"/>
                                <w:r w:rsidRPr="13785494" w:rsidDel="FFFFFFFF">
                                  <w:rPr>
                                    <w:i/>
                                  </w:rPr>
                                  <w:t>,ГОСТ 1583-93</w:t>
                                </w:r>
                              </w:p>
                              <w:p w:rsidR="004F71D7" w:rsidRDefault="004F71D7" w:rsidP="00057E54">
                                <w:pPr>
                                  <w:ind w:left="0" w:hanging="2"/>
                                </w:pPr>
                              </w:p>
                            </w:txbxContent>
                          </wps:txbx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94615</wp:posOffset>
                </wp:positionV>
                <wp:extent cx="5842635" cy="3206115"/>
                <wp:effectExtent b="0" l="0" r="0" t="0"/>
                <wp:wrapNone/>
                <wp:docPr id="103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42635" cy="320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Нанести на копию эскиза детали модельно-литейные указания: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разъем модели и формы;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расположение отливки в форме (</w:t>
      </w:r>
      <w:proofErr w:type="gramStart"/>
      <w:r>
        <w:rPr>
          <w:i/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и 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);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припуски на механическую обработку;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формовочные уклоны;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форму стержней и размеры стержневых знаков;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усадку;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–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неотливаемые</w:t>
      </w:r>
      <w:proofErr w:type="spellEnd"/>
      <w:r>
        <w:rPr>
          <w:color w:val="000000"/>
          <w:sz w:val="28"/>
          <w:szCs w:val="28"/>
        </w:rPr>
        <w:t xml:space="preserve"> отверстия.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В соответствии с модельно-литейными указаниями вычертить модель детали и стержневой ящик. Выполнить эскизы элементов литниковой системы.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Загрузить в электропечь тигель с необходимым количеством сплава, из которого будет отливаться деталь.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Приготовить 3 кг формовочной смеси следующего состава: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сухая отработанная формовочная смесь  –  90 %;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сухой свежеприготовленный кварцевый песок  –  8 %;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сухая свежеприготовленная огнеупорная глина  –  2 %;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вода – 5 % (сверх 100 %).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Взвешенные компоненты формовочной смеси загрузить в лабораторные бегуны. Произвести перемешивание их в сухом виде в течение 2...3 мин. Добавить в смесь воду и продолжить перемешивание еще в течение 5...6 мин. Приготовленную смесь выгрузить в металлический противень.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Приготовить 0,1...0,2 кг стержневой смеси, для чего взять указанное количество формовочной смеси, добавить в нее 2...3 % опилок или торфяной крошки и перемешать вручную.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Изготовить стержень. Стержневой ящик установить на плиту. Наполнить полость ящика стержневой смесью и уплотнять ее при помощи трамбовки. Загладить торцевые части стержня и при помощи душника произвести по оси стержня </w:t>
      </w:r>
      <w:proofErr w:type="spellStart"/>
      <w:r>
        <w:rPr>
          <w:color w:val="000000"/>
          <w:sz w:val="28"/>
          <w:szCs w:val="28"/>
        </w:rPr>
        <w:t>накол</w:t>
      </w:r>
      <w:proofErr w:type="spellEnd"/>
      <w:r>
        <w:rPr>
          <w:color w:val="000000"/>
          <w:sz w:val="28"/>
          <w:szCs w:val="28"/>
        </w:rPr>
        <w:t xml:space="preserve"> для получения вентиляционного канала. Извлечь стержень из стержневого ящика и поместить его в сушильный шкаф для сушки. Сушка производится в течение 1...1,5 ч при температуре 350...400 °С.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Изготовить и собрать форму. Нижнюю половину модели, не имеющую центрирующих шипов, и модели питателя кладут плоскостью разъема на </w:t>
      </w:r>
      <w:proofErr w:type="spellStart"/>
      <w:r>
        <w:rPr>
          <w:color w:val="000000"/>
          <w:sz w:val="28"/>
          <w:szCs w:val="28"/>
        </w:rPr>
        <w:t>подмодельную</w:t>
      </w:r>
      <w:proofErr w:type="spellEnd"/>
      <w:r>
        <w:rPr>
          <w:color w:val="000000"/>
          <w:sz w:val="28"/>
          <w:szCs w:val="28"/>
        </w:rPr>
        <w:t xml:space="preserve"> плиту. Сверху устанавливают нижнюю опоку плоскостью разъёма вниз так, чтобы расстояние от модели до стенок опоки было примерно одинаковым. На модель насыпают слой формовочной смеси 20...30 мм и уплотняют ее руками вокруг всей модели. Наполняют формовочной смесью остальной объем опоки. Клиновым концом трамбовки смесь уплотняют сначала у стенок опоки, а затем в средней части. После добавления смеси выше краёв опоки ее уплотняют тупым концом трамбовки. Излишек смеси срезают линейкой. Душником накалывают вентиляционные каналы.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Заформованную</w:t>
      </w:r>
      <w:proofErr w:type="spellEnd"/>
      <w:r>
        <w:rPr>
          <w:color w:val="000000"/>
          <w:sz w:val="28"/>
          <w:szCs w:val="28"/>
        </w:rPr>
        <w:t xml:space="preserve"> опоку переворачивают на 180°. Формовочную смесь по разъему заглаживают гладилкой. На нижнюю половину модели по центрирующим шипам устанавливают верхнюю половину модели и модели шлакоуловителя, стояка и выпора. Поверхность разъема формы посыпают тонким слоем сухого кварцевого песка или графита, чтобы формовочная смесь в верхней опоке не прилипала к смеси в нижней опоке. По центрирующим штырям на нижнюю опоку устанавливают верхнюю опоку.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Производят наполнение и уплотнение смеси в верхней опоке в таком же порядке, как и в нижней.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После накалывания вентиляционных каналов гладилкой вокруг стояка прорезают литниковую чашу.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Модели стояка и выпора слегка раскачивают и удаляют </w:t>
      </w:r>
      <w:proofErr w:type="gramStart"/>
      <w:r>
        <w:rPr>
          <w:color w:val="000000"/>
          <w:sz w:val="28"/>
          <w:szCs w:val="28"/>
        </w:rPr>
        <w:t>из</w:t>
      </w:r>
      <w:proofErr w:type="gramEnd"/>
      <w:r>
        <w:rPr>
          <w:color w:val="000000"/>
          <w:sz w:val="28"/>
          <w:szCs w:val="28"/>
        </w:rPr>
        <w:t xml:space="preserve"> верхней </w:t>
      </w:r>
      <w:proofErr w:type="spellStart"/>
      <w:r>
        <w:rPr>
          <w:color w:val="000000"/>
          <w:sz w:val="28"/>
          <w:szCs w:val="28"/>
        </w:rPr>
        <w:t>полуформы</w:t>
      </w:r>
      <w:proofErr w:type="spellEnd"/>
      <w:r>
        <w:rPr>
          <w:color w:val="000000"/>
          <w:sz w:val="28"/>
          <w:szCs w:val="28"/>
        </w:rPr>
        <w:t xml:space="preserve">. Верхнюю опоку снимают и переворачивают на 180°. Из </w:t>
      </w:r>
      <w:proofErr w:type="spellStart"/>
      <w:r>
        <w:rPr>
          <w:color w:val="000000"/>
          <w:sz w:val="28"/>
          <w:szCs w:val="28"/>
        </w:rPr>
        <w:t>полуформы</w:t>
      </w:r>
      <w:proofErr w:type="spellEnd"/>
      <w:r>
        <w:rPr>
          <w:color w:val="000000"/>
          <w:sz w:val="28"/>
          <w:szCs w:val="28"/>
        </w:rPr>
        <w:t xml:space="preserve"> после легкого раскачивания удаляют модель отливки и модели шлакоуловителя и питателей. Обе </w:t>
      </w:r>
      <w:proofErr w:type="spellStart"/>
      <w:r>
        <w:rPr>
          <w:color w:val="000000"/>
          <w:sz w:val="28"/>
          <w:szCs w:val="28"/>
        </w:rPr>
        <w:t>полуформы</w:t>
      </w:r>
      <w:proofErr w:type="spellEnd"/>
      <w:r>
        <w:rPr>
          <w:color w:val="000000"/>
          <w:sz w:val="28"/>
          <w:szCs w:val="28"/>
        </w:rPr>
        <w:t xml:space="preserve"> отделывают и </w:t>
      </w:r>
      <w:proofErr w:type="spellStart"/>
      <w:r>
        <w:rPr>
          <w:color w:val="000000"/>
          <w:sz w:val="28"/>
          <w:szCs w:val="28"/>
        </w:rPr>
        <w:t>припыливают</w:t>
      </w:r>
      <w:proofErr w:type="spellEnd"/>
      <w:r>
        <w:rPr>
          <w:color w:val="000000"/>
          <w:sz w:val="28"/>
          <w:szCs w:val="28"/>
        </w:rPr>
        <w:t xml:space="preserve"> серебристым графитом, тальком или другими пылевидными материалами      с целью получения отливок с более чистой поверхностью.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нижнюю </w:t>
      </w:r>
      <w:proofErr w:type="spellStart"/>
      <w:r>
        <w:rPr>
          <w:color w:val="000000"/>
          <w:sz w:val="28"/>
          <w:szCs w:val="28"/>
        </w:rPr>
        <w:t>полуформу</w:t>
      </w:r>
      <w:proofErr w:type="spellEnd"/>
      <w:r>
        <w:rPr>
          <w:color w:val="000000"/>
          <w:sz w:val="28"/>
          <w:szCs w:val="28"/>
        </w:rPr>
        <w:t xml:space="preserve"> устанавливают высушенные и охлаждённые стержни и закрывают ее по центрирующим штырям верхней </w:t>
      </w:r>
      <w:proofErr w:type="spellStart"/>
      <w:r>
        <w:rPr>
          <w:color w:val="000000"/>
          <w:sz w:val="28"/>
          <w:szCs w:val="28"/>
        </w:rPr>
        <w:t>полуформой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gramEnd"/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</w:t>
      </w:r>
      <w:proofErr w:type="gramStart"/>
      <w:r>
        <w:rPr>
          <w:color w:val="000000"/>
          <w:sz w:val="28"/>
          <w:szCs w:val="28"/>
        </w:rPr>
        <w:t>верхнюю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полуформу</w:t>
      </w:r>
      <w:proofErr w:type="spellEnd"/>
      <w:r>
        <w:rPr>
          <w:color w:val="000000"/>
          <w:sz w:val="28"/>
          <w:szCs w:val="28"/>
        </w:rPr>
        <w:t xml:space="preserve"> устанавливают груз для предотвращения ухода жидкого металла через разъем формы во время заливки.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Залить форму жидким металлом (работу с расплавленным металлом и горячей отливкой выполняет учебный мастер). Металл перед заливкой должен быть перегрет на 100…160</w:t>
      </w:r>
      <w:proofErr w:type="gramStart"/>
      <w:r>
        <w:rPr>
          <w:color w:val="000000"/>
          <w:sz w:val="28"/>
          <w:szCs w:val="28"/>
        </w:rPr>
        <w:t xml:space="preserve"> °С</w:t>
      </w:r>
      <w:proofErr w:type="gramEnd"/>
      <w:r>
        <w:rPr>
          <w:color w:val="000000"/>
          <w:sz w:val="28"/>
          <w:szCs w:val="28"/>
        </w:rPr>
        <w:t xml:space="preserve"> выше температуры плавления для повышения </w:t>
      </w:r>
      <w:proofErr w:type="spellStart"/>
      <w:r>
        <w:rPr>
          <w:color w:val="000000"/>
          <w:sz w:val="28"/>
          <w:szCs w:val="28"/>
        </w:rPr>
        <w:t>жидкотекучести</w:t>
      </w:r>
      <w:proofErr w:type="spellEnd"/>
      <w:r>
        <w:rPr>
          <w:color w:val="000000"/>
          <w:sz w:val="28"/>
          <w:szCs w:val="28"/>
        </w:rPr>
        <w:t>. При достижении заданной температуры сплава тигель  вынимают  из  печи  и  выдерживают некоторое время  для выделения газов, всплывания шлака и неметаллических включений, которые с поверхности жидкого металла удаляют. Разливку сплава ведут, не прерывая струи, до появления его из отверстия выпора.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Выбить отливку из формы. Форму разрушают после затвердевания и частичного остывания отливки (через 10…15 мин после заливки). Извлечённую отливку охлаждают и очищают.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Вычертить эскизы формовки  (нижней опоки, верхней опоки) и формы в сборе. 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Вычертить эскиз готовой отливки с элементами литниковой системы в аксонометрии. 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Содержание отчета</w:t>
      </w:r>
    </w:p>
    <w:p w:rsidR="004F71D7" w:rsidRDefault="004F71D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Название и цель лабораторной работы.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Оснащение.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Эскиз детали втулка или хомут (по заданию преподавателя).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Эскиз элементов литейной формы для литья детали втулка или хомут в песчано-глинистую форму.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Эскизы модели, стержневого ящика и стержня.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Эскизы  этапов  формовки  (нижней  </w:t>
      </w:r>
      <w:proofErr w:type="spellStart"/>
      <w:r>
        <w:rPr>
          <w:color w:val="000000"/>
          <w:sz w:val="28"/>
          <w:szCs w:val="28"/>
        </w:rPr>
        <w:t>полуформы</w:t>
      </w:r>
      <w:proofErr w:type="spellEnd"/>
      <w:r>
        <w:rPr>
          <w:color w:val="000000"/>
          <w:sz w:val="28"/>
          <w:szCs w:val="28"/>
        </w:rPr>
        <w:t xml:space="preserve">,  верхней  </w:t>
      </w:r>
      <w:proofErr w:type="spellStart"/>
      <w:r>
        <w:rPr>
          <w:color w:val="000000"/>
          <w:sz w:val="28"/>
          <w:szCs w:val="28"/>
        </w:rPr>
        <w:t>полуформы</w:t>
      </w:r>
      <w:proofErr w:type="spellEnd"/>
      <w:r>
        <w:rPr>
          <w:color w:val="000000"/>
          <w:sz w:val="28"/>
          <w:szCs w:val="28"/>
        </w:rPr>
        <w:t xml:space="preserve"> и  формы   в  сборе).</w:t>
      </w:r>
    </w:p>
    <w:p w:rsidR="004F71D7" w:rsidRDefault="00062917" w:rsidP="00057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Эскиз отливки.</w:t>
      </w:r>
    </w:p>
    <w:p w:rsidR="004F71D7" w:rsidRDefault="00062917" w:rsidP="004F71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Оценка качества полученной отливки в песчано-глинистую форму. </w:t>
      </w:r>
    </w:p>
    <w:p w:rsidR="00DD0DE4" w:rsidRDefault="00DD0DE4" w:rsidP="004F71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DE4" w:rsidRDefault="00DD0DE4" w:rsidP="004F71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DD0DE4" w:rsidRDefault="00DD0DE4" w:rsidP="007D63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</w:rPr>
      </w:pPr>
    </w:p>
    <w:p w:rsidR="007D634D" w:rsidRDefault="007D634D" w:rsidP="007D63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</w:rPr>
      </w:pPr>
    </w:p>
    <w:sectPr w:rsidR="007D634D">
      <w:footerReference w:type="even" r:id="rId30"/>
      <w:footerReference w:type="default" r:id="rId31"/>
      <w:pgSz w:w="11906" w:h="16838"/>
      <w:pgMar w:top="1134" w:right="851" w:bottom="1134" w:left="1701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EC" w:rsidRDefault="00A069EC" w:rsidP="00057E54">
      <w:pPr>
        <w:spacing w:line="240" w:lineRule="auto"/>
        <w:ind w:left="0" w:hanging="2"/>
      </w:pPr>
      <w:r>
        <w:separator/>
      </w:r>
    </w:p>
  </w:endnote>
  <w:endnote w:type="continuationSeparator" w:id="0">
    <w:p w:rsidR="00A069EC" w:rsidRDefault="00A069EC" w:rsidP="00057E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1D7" w:rsidRDefault="00062917" w:rsidP="00057E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F71D7" w:rsidRDefault="004F71D7" w:rsidP="00057E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1D7" w:rsidRDefault="00062917" w:rsidP="00057E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66D2">
      <w:rPr>
        <w:noProof/>
        <w:color w:val="000000"/>
      </w:rPr>
      <w:t>5</w:t>
    </w:r>
    <w:r>
      <w:rPr>
        <w:color w:val="000000"/>
      </w:rPr>
      <w:fldChar w:fldCharType="end"/>
    </w:r>
  </w:p>
  <w:p w:rsidR="004F71D7" w:rsidRDefault="004F71D7" w:rsidP="00057E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EC" w:rsidRDefault="00A069EC" w:rsidP="00057E54">
      <w:pPr>
        <w:spacing w:line="240" w:lineRule="auto"/>
        <w:ind w:left="0" w:hanging="2"/>
      </w:pPr>
      <w:r>
        <w:separator/>
      </w:r>
    </w:p>
  </w:footnote>
  <w:footnote w:type="continuationSeparator" w:id="0">
    <w:p w:rsidR="00A069EC" w:rsidRDefault="00A069EC" w:rsidP="00057E54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71D7"/>
    <w:rsid w:val="00057E54"/>
    <w:rsid w:val="00062917"/>
    <w:rsid w:val="004F71D7"/>
    <w:rsid w:val="00514664"/>
    <w:rsid w:val="006F3322"/>
    <w:rsid w:val="007D634D"/>
    <w:rsid w:val="00A069EC"/>
    <w:rsid w:val="00B766D2"/>
    <w:rsid w:val="00DD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D63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D63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40.png"/><Relationship Id="rId3" Type="http://schemas.openxmlformats.org/officeDocument/2006/relationships/settings" Target="settings.xml"/><Relationship Id="rId21" Type="http://schemas.openxmlformats.org/officeDocument/2006/relationships/image" Target="media/image90.png"/><Relationship Id="rId7" Type="http://schemas.openxmlformats.org/officeDocument/2006/relationships/image" Target="media/image1.png"/><Relationship Id="rId12" Type="http://schemas.openxmlformats.org/officeDocument/2006/relationships/image" Target="media/image20.png"/><Relationship Id="rId17" Type="http://schemas.openxmlformats.org/officeDocument/2006/relationships/image" Target="media/image9.png"/><Relationship Id="rId25" Type="http://schemas.openxmlformats.org/officeDocument/2006/relationships/image" Target="media/image60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00.png"/><Relationship Id="rId29" Type="http://schemas.openxmlformats.org/officeDocument/2006/relationships/image" Target="media/image16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10" Type="http://schemas.openxmlformats.org/officeDocument/2006/relationships/image" Target="media/image17.png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footer" Target="foot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13</Pages>
  <Words>2947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4</cp:revision>
  <dcterms:created xsi:type="dcterms:W3CDTF">2011-03-30T08:12:00Z</dcterms:created>
  <dcterms:modified xsi:type="dcterms:W3CDTF">2026-01-28T20:13:00Z</dcterms:modified>
</cp:coreProperties>
</file>