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C1E7" w14:textId="77777777" w:rsidR="00387293" w:rsidRPr="00387293" w:rsidRDefault="00387293" w:rsidP="00387293">
      <w:pPr>
        <w:spacing w:after="0"/>
        <w:ind w:firstLine="709"/>
        <w:jc w:val="both"/>
      </w:pPr>
      <w:r w:rsidRPr="00387293">
        <w:rPr>
          <w:b/>
          <w:bCs/>
        </w:rPr>
        <w:t>Темы контрольных работ:</w:t>
      </w:r>
    </w:p>
    <w:p w14:paraId="7CBE9EA5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Современные киберугрозы и методы борьбы с ними.</w:t>
      </w:r>
    </w:p>
    <w:p w14:paraId="37D91714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Решения вопросов информационной безопасности на государственном уровне.</w:t>
      </w:r>
    </w:p>
    <w:p w14:paraId="1E572CEA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Решения информационной безопасности для малого и среднего бизнеса.</w:t>
      </w:r>
    </w:p>
    <w:p w14:paraId="1162CDE6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Технологии киберразведки.</w:t>
      </w:r>
    </w:p>
    <w:p w14:paraId="1681AF92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Отечественные межсетевые экраны нового поколения.</w:t>
      </w:r>
    </w:p>
    <w:p w14:paraId="083944AA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Услуги в области информационной безопасности и их востребованность.</w:t>
      </w:r>
    </w:p>
    <w:p w14:paraId="180BF252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Поставщики отечественных ИБ-решений.</w:t>
      </w:r>
    </w:p>
    <w:p w14:paraId="1D5BEEFC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Защита электронной коммерции.</w:t>
      </w:r>
    </w:p>
    <w:p w14:paraId="6AEC000D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Экосистемные (комплексные) решения в сфере ИБ.</w:t>
      </w:r>
    </w:p>
    <w:p w14:paraId="7ACAF000" w14:textId="77777777" w:rsidR="00387293" w:rsidRPr="00387293" w:rsidRDefault="00387293" w:rsidP="00387293">
      <w:pPr>
        <w:numPr>
          <w:ilvl w:val="0"/>
          <w:numId w:val="1"/>
        </w:numPr>
        <w:spacing w:after="0"/>
        <w:jc w:val="both"/>
      </w:pPr>
      <w:r w:rsidRPr="00387293">
        <w:t>Решения для борьбы с утечкой персональных данных пользователей.</w:t>
      </w:r>
    </w:p>
    <w:p w14:paraId="3023A63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73EEF"/>
    <w:multiLevelType w:val="multilevel"/>
    <w:tmpl w:val="2514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70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93"/>
    <w:rsid w:val="002F1F41"/>
    <w:rsid w:val="00387293"/>
    <w:rsid w:val="00511C28"/>
    <w:rsid w:val="006C0B77"/>
    <w:rsid w:val="008242FF"/>
    <w:rsid w:val="00870751"/>
    <w:rsid w:val="00922C48"/>
    <w:rsid w:val="00AF39E5"/>
    <w:rsid w:val="00B915B7"/>
    <w:rsid w:val="00BA59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FB6F"/>
  <w15:chartTrackingRefBased/>
  <w15:docId w15:val="{F80D8F1A-6B55-4610-B842-4AAFAA27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2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2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2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2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2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2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2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29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729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729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729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729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729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2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29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29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2026-05-04T10:37:00Z</dcterms:created>
  <dcterms:modified xsi:type="dcterms:W3CDTF">2026-05-04T10:38:00Z</dcterms:modified>
</cp:coreProperties>
</file>