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Зарегистрировано в Минюсте России 30 ноября 2023 г. N 76179</w:t>
      </w:r>
    </w:p>
    <w:p w:rsidR="004F6638" w:rsidRPr="004F6638" w:rsidRDefault="004F6638" w:rsidP="004F6638">
      <w:pPr>
        <w:widowControl w:val="0"/>
        <w:pBdr>
          <w:bottom w:val="single" w:sz="4" w:space="1" w:color="auto"/>
        </w:pBdr>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4"/>
          <w:szCs w:val="4"/>
          <w:lang w:eastAsia="ru-RU"/>
        </w:rPr>
        <w:t> </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МИНИСТЕРСТВО ТРУДА И СОЦИАЛЬНОЙ ЗАЩИТЫ РОССИЙСКОЙ ФЕДЕРАЦИИ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b/>
          <w:bCs/>
          <w:sz w:val="36"/>
          <w:szCs w:val="36"/>
          <w:lang w:eastAsia="ru-RU"/>
        </w:rPr>
      </w:pPr>
      <w:r w:rsidRPr="004F6638">
        <w:rPr>
          <w:rFonts w:ascii="Times New Roman" w:eastAsiaTheme="minorEastAsia" w:hAnsi="Times New Roman" w:cs="Times New Roman"/>
          <w:b/>
          <w:bCs/>
          <w:sz w:val="36"/>
          <w:szCs w:val="36"/>
          <w:lang w:eastAsia="ru-RU"/>
        </w:rPr>
        <w:t>ПРИКАЗ</w:t>
      </w: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соответствии с </w:t>
      </w:r>
      <w:hyperlink r:id="rId4" w:history="1">
        <w:r w:rsidRPr="004F6638">
          <w:rPr>
            <w:rFonts w:ascii="Times New Roman" w:eastAsiaTheme="minorEastAsia" w:hAnsi="Times New Roman" w:cs="Times New Roman"/>
            <w:sz w:val="24"/>
            <w:szCs w:val="24"/>
            <w:u w:val="single"/>
            <w:lang w:eastAsia="ru-RU"/>
          </w:rPr>
          <w:t>частью 3</w:t>
        </w:r>
      </w:hyperlink>
      <w:r w:rsidRPr="004F6638">
        <w:rPr>
          <w:rFonts w:ascii="Times New Roman" w:eastAsiaTheme="minorEastAsia" w:hAnsi="Times New Roman" w:cs="Times New Roman"/>
          <w:sz w:val="24"/>
          <w:szCs w:val="24"/>
          <w:lang w:eastAsia="ru-RU"/>
        </w:rPr>
        <w:t xml:space="preserve"> статьи 8, </w:t>
      </w:r>
      <w:hyperlink r:id="rId5" w:history="1">
        <w:r w:rsidRPr="004F6638">
          <w:rPr>
            <w:rFonts w:ascii="Times New Roman" w:eastAsiaTheme="minorEastAsia" w:hAnsi="Times New Roman" w:cs="Times New Roman"/>
            <w:sz w:val="24"/>
            <w:szCs w:val="24"/>
            <w:u w:val="single"/>
            <w:lang w:eastAsia="ru-RU"/>
          </w:rPr>
          <w:t>частью 1</w:t>
        </w:r>
      </w:hyperlink>
      <w:r w:rsidRPr="004F6638">
        <w:rPr>
          <w:rFonts w:ascii="Times New Roman" w:eastAsiaTheme="minorEastAsia" w:hAnsi="Times New Roman" w:cs="Times New Roman"/>
          <w:sz w:val="24"/>
          <w:szCs w:val="24"/>
          <w:lang w:eastAsia="ru-RU"/>
        </w:rPr>
        <w:t xml:space="preserve"> статьи 10, </w:t>
      </w:r>
      <w:hyperlink r:id="rId6" w:history="1">
        <w:r w:rsidRPr="004F6638">
          <w:rPr>
            <w:rFonts w:ascii="Times New Roman" w:eastAsiaTheme="minorEastAsia" w:hAnsi="Times New Roman" w:cs="Times New Roman"/>
            <w:sz w:val="24"/>
            <w:szCs w:val="24"/>
            <w:u w:val="single"/>
            <w:lang w:eastAsia="ru-RU"/>
          </w:rPr>
          <w:t>частью 3</w:t>
        </w:r>
      </w:hyperlink>
      <w:r w:rsidRPr="004F6638">
        <w:rPr>
          <w:rFonts w:ascii="Times New Roman" w:eastAsiaTheme="minorEastAsia" w:hAnsi="Times New Roman" w:cs="Times New Roman"/>
          <w:sz w:val="24"/>
          <w:szCs w:val="24"/>
          <w:lang w:eastAsia="ru-RU"/>
        </w:rPr>
        <w:t xml:space="preserve"> статьи 15 Федерального закона от 28 декабря 2013 г. N 426-ФЗ "О специальной оценке условий труда" и </w:t>
      </w:r>
      <w:hyperlink r:id="rId7" w:history="1">
        <w:r w:rsidRPr="004F6638">
          <w:rPr>
            <w:rFonts w:ascii="Times New Roman" w:eastAsiaTheme="minorEastAsia" w:hAnsi="Times New Roman" w:cs="Times New Roman"/>
            <w:sz w:val="24"/>
            <w:szCs w:val="24"/>
            <w:u w:val="single"/>
            <w:lang w:eastAsia="ru-RU"/>
          </w:rPr>
          <w:t>подпунктом 5.2.16</w:t>
        </w:r>
      </w:hyperlink>
      <w:r w:rsidRPr="004F6638">
        <w:rPr>
          <w:rFonts w:ascii="Times New Roman" w:eastAsiaTheme="minorEastAsia" w:hAnsi="Times New Roman" w:cs="Times New Roman"/>
          <w:sz w:val="24"/>
          <w:szCs w:val="24"/>
          <w:lang w:eastAsia="ru-RU"/>
        </w:rPr>
        <w:t xml:space="preserve"> пункта 5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приказываю: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Утвердить: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Методику проведения специальной оценки условий труда согласно приложению N 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Классификатор вредных и (или) опасных производственных факторов согласно приложению N 2;</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форму отчета о проведении специальной оценки условий труда согласно приложению N 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инструкцию по заполнению формы отчета о проведении специальной оценки условий труда согласно приложению N 4.</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Признать утратившими силу: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приказ Министерства труда и социальной защиты Российской Федерации </w:t>
      </w:r>
      <w:hyperlink r:id="rId8" w:history="1">
        <w:r w:rsidRPr="004F6638">
          <w:rPr>
            <w:rFonts w:ascii="Times New Roman" w:eastAsiaTheme="minorEastAsia" w:hAnsi="Times New Roman" w:cs="Times New Roman"/>
            <w:sz w:val="24"/>
            <w:szCs w:val="24"/>
            <w:u w:val="single"/>
            <w:lang w:eastAsia="ru-RU"/>
          </w:rPr>
          <w:t>от 24 января 2014 г. N 33н</w:t>
        </w:r>
      </w:hyperlink>
      <w:r w:rsidRPr="004F6638">
        <w:rPr>
          <w:rFonts w:ascii="Times New Roman" w:eastAsiaTheme="minorEastAsia" w:hAnsi="Times New Roman" w:cs="Times New Roman"/>
          <w:sz w:val="24"/>
          <w:szCs w:val="24"/>
          <w:lang w:eastAsia="ru-RU"/>
        </w:rPr>
        <w:t xml:space="preserve">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21 марта 2014 г., регистрационный N 31689);</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приказ Министерства труда и социальной защиты Российской Федерации </w:t>
      </w:r>
      <w:hyperlink r:id="rId9" w:history="1">
        <w:r w:rsidRPr="004F6638">
          <w:rPr>
            <w:rFonts w:ascii="Times New Roman" w:eastAsiaTheme="minorEastAsia" w:hAnsi="Times New Roman" w:cs="Times New Roman"/>
            <w:sz w:val="24"/>
            <w:szCs w:val="24"/>
            <w:u w:val="single"/>
            <w:lang w:eastAsia="ru-RU"/>
          </w:rPr>
          <w:t>от 20 января 2015 г. N 24н</w:t>
        </w:r>
      </w:hyperlink>
      <w:r w:rsidRPr="004F6638">
        <w:rPr>
          <w:rFonts w:ascii="Times New Roman" w:eastAsiaTheme="minorEastAsia" w:hAnsi="Times New Roman" w:cs="Times New Roman"/>
          <w:sz w:val="24"/>
          <w:szCs w:val="24"/>
          <w:lang w:eastAsia="ru-RU"/>
        </w:rPr>
        <w:t xml:space="preserve"> "О внесении изменений в Методику проведения специальной оценки условий труда и Классификатор вредных и (или) опасных производственных факторов, утвержденные </w:t>
      </w:r>
      <w:r w:rsidRPr="004F6638">
        <w:rPr>
          <w:rFonts w:ascii="Times New Roman" w:eastAsiaTheme="minorEastAsia" w:hAnsi="Times New Roman" w:cs="Times New Roman"/>
          <w:sz w:val="24"/>
          <w:szCs w:val="24"/>
          <w:lang w:eastAsia="ru-RU"/>
        </w:rPr>
        <w:lastRenderedPageBreak/>
        <w:t>приказом Министерства труда и социальной защиты Российской Федерации от 24 января 2014 г. N 33н" (зарегистрирован Министерством юстиции Российской Федерации 9 февраля 2015 г., регистрационный N 35927);</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hyperlink r:id="rId10" w:history="1">
        <w:r w:rsidRPr="004F6638">
          <w:rPr>
            <w:rFonts w:ascii="Times New Roman" w:eastAsiaTheme="minorEastAsia" w:hAnsi="Times New Roman" w:cs="Times New Roman"/>
            <w:sz w:val="24"/>
            <w:szCs w:val="24"/>
            <w:u w:val="single"/>
            <w:lang w:eastAsia="ru-RU"/>
          </w:rPr>
          <w:t>пункт 1</w:t>
        </w:r>
      </w:hyperlink>
      <w:r w:rsidRPr="004F6638">
        <w:rPr>
          <w:rFonts w:ascii="Times New Roman" w:eastAsiaTheme="minorEastAsia" w:hAnsi="Times New Roman" w:cs="Times New Roman"/>
          <w:sz w:val="24"/>
          <w:szCs w:val="24"/>
          <w:lang w:eastAsia="ru-RU"/>
        </w:rPr>
        <w:t xml:space="preserve"> изменений, вносимых в нормативные правовые акты Министерства труда и социальной защиты Российской Федерации в связи с принятием Федерального закона от 1 мая 2016 г. N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 специальной оценке условий труда", утвержденных приказом Министерства труда и социальной защиты Российской Федерации от 14 ноября 2016 г. N 642н (зарегистрирован Министерством юстиции Российской Федерации 6 февраля 2017 г., регистрационный N 45539);</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hyperlink r:id="rId11" w:history="1">
        <w:r w:rsidRPr="004F6638">
          <w:rPr>
            <w:rFonts w:ascii="Times New Roman" w:eastAsiaTheme="minorEastAsia" w:hAnsi="Times New Roman" w:cs="Times New Roman"/>
            <w:sz w:val="24"/>
            <w:szCs w:val="24"/>
            <w:u w:val="single"/>
            <w:lang w:eastAsia="ru-RU"/>
          </w:rPr>
          <w:t>пункт 1</w:t>
        </w:r>
      </w:hyperlink>
      <w:r w:rsidRPr="004F6638">
        <w:rPr>
          <w:rFonts w:ascii="Times New Roman" w:eastAsiaTheme="minorEastAsia" w:hAnsi="Times New Roman" w:cs="Times New Roman"/>
          <w:sz w:val="24"/>
          <w:szCs w:val="24"/>
          <w:lang w:eastAsia="ru-RU"/>
        </w:rPr>
        <w:t xml:space="preserve"> изменений, вносимых в некоторые нормативные правовые акты Министерства труда и социальной защиты Российской Федерации в связи с принятием Федерального закона от 27 декабря 2019 г. N 451-ФЗ "О внесении изменений в Федеральный закон "О специальной оценке условий труда", утвержденных приказом Министерства труда и социальной защиты Российской Федерации от 27 апреля 2020 г. N 213н (зарегистрирован Министерством юстиции Российской Федерации 21 августа 2020 г., регистрационный N 59378).</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Установить, что настоящий приказ вступает в силу с 1 сентября 2024 г. и действует до 1 сентября 2030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Министр</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А.О. КОТЯКОВ</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приказу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МЕТОДИКА ПРОВЕДЕНИЯ СПЕЦИАЛЬНОЙ ОЦЕНКИ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I. Общие положения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Настоящая Методика устанавливает обязательные требования к последовательно реализуемым в рамках проведения специальной оценки условий труда процедурам: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идентификации потенциально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исследованиям (испытаниям) и измерениям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3) отнесению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оформлению результатов проведения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реализация предусмотренных пунктом 1 настоящей Методики процедур осуществляется с учетом требований законодательства Российской Федерации о государственной и иной охраняемой законом тайне &lt;1&gt;.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&lt;1&gt; </w:t>
      </w:r>
      <w:hyperlink r:id="rId12" w:history="1">
        <w:r w:rsidRPr="004F6638">
          <w:rPr>
            <w:rFonts w:ascii="Times New Roman" w:eastAsiaTheme="minorEastAsia" w:hAnsi="Times New Roman" w:cs="Times New Roman"/>
            <w:sz w:val="24"/>
            <w:szCs w:val="24"/>
            <w:u w:val="single"/>
            <w:lang w:eastAsia="ru-RU"/>
          </w:rPr>
          <w:t>Часть 4</w:t>
        </w:r>
      </w:hyperlink>
      <w:r w:rsidRPr="004F6638">
        <w:rPr>
          <w:rFonts w:ascii="Times New Roman" w:eastAsiaTheme="minorEastAsia" w:hAnsi="Times New Roman" w:cs="Times New Roman"/>
          <w:sz w:val="24"/>
          <w:szCs w:val="24"/>
          <w:lang w:eastAsia="ru-RU"/>
        </w:rPr>
        <w:t xml:space="preserve"> статьи 8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3. Организация, проводящая специальную оценку условий труда, до начала работ по проведению специальной оценки условий труда, но не позднее чем через пять рабочих дней со дня заключения с работодателем гражданско-правового договора о проведении специальной оценки условий труда, обязана получить в Федеральной государственной информационной системе учета результатов проведения специальной оценки условий труда идентификационный номер предстоящей специальной оценки условий труда и сообщить его работодателю до начала выполнения работ по проведению специальной оценки условий труда, в порядке, установленном Федеральным законом </w:t>
      </w:r>
      <w:hyperlink r:id="rId13"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Уведомление о получении идентификационного номера направляется в адрес работодателя организацией, проводящей специальную оценку условий труда, на бумажном носителе либо заказным почтовым отправлением с уведомлением о вручении, либо вручается лично работодателю (его представителю), либо направляется в форме электронного документа, подписанного усиленной квалифицированной электронной подписью.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4. В отношении рабочих мест в организациях, осуществляющих отдельные виды деятельности и </w:t>
      </w:r>
      <w:hyperlink r:id="rId14" w:history="1">
        <w:r w:rsidRPr="004F6638">
          <w:rPr>
            <w:rFonts w:ascii="Times New Roman" w:eastAsiaTheme="minorEastAsia" w:hAnsi="Times New Roman" w:cs="Times New Roman"/>
            <w:sz w:val="24"/>
            <w:szCs w:val="24"/>
            <w:u w:val="single"/>
            <w:lang w:eastAsia="ru-RU"/>
          </w:rPr>
          <w:t>перечень</w:t>
        </w:r>
      </w:hyperlink>
      <w:r w:rsidRPr="004F6638">
        <w:rPr>
          <w:rFonts w:ascii="Times New Roman" w:eastAsiaTheme="minorEastAsia" w:hAnsi="Times New Roman" w:cs="Times New Roman"/>
          <w:sz w:val="24"/>
          <w:szCs w:val="24"/>
          <w:lang w:eastAsia="ru-RU"/>
        </w:rPr>
        <w:t xml:space="preserve"> которых утвержден Правительством Российской Федерации, специальная оценка условий труда проводится с учетом устанавливаемых уполномоченным федеральным органом исполнительной власти особенностей &lt;2&gt;.</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&lt;2&gt; Постановление Правительства Российской Федерации </w:t>
      </w:r>
      <w:hyperlink r:id="rId15" w:history="1">
        <w:r w:rsidRPr="004F6638">
          <w:rPr>
            <w:rFonts w:ascii="Times New Roman" w:eastAsiaTheme="minorEastAsia" w:hAnsi="Times New Roman" w:cs="Times New Roman"/>
            <w:sz w:val="24"/>
            <w:szCs w:val="24"/>
            <w:u w:val="single"/>
            <w:lang w:eastAsia="ru-RU"/>
          </w:rPr>
          <w:t>от 14 октября 2022 г. N 1830</w:t>
        </w:r>
      </w:hyperlink>
      <w:r w:rsidRPr="004F6638">
        <w:rPr>
          <w:rFonts w:ascii="Times New Roman" w:eastAsiaTheme="minorEastAsia" w:hAnsi="Times New Roman" w:cs="Times New Roman"/>
          <w:sz w:val="24"/>
          <w:szCs w:val="24"/>
          <w:lang w:eastAsia="ru-RU"/>
        </w:rPr>
        <w:t xml:space="preserve"> "О перечне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 Срок действия до 1 марта 2029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II. Идентификация потенциально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5. Идентификация потенциально вредных и (или) опасных производственных факторов (далее </w:t>
      </w:r>
      <w:r w:rsidRPr="004F6638">
        <w:rPr>
          <w:rFonts w:ascii="Times New Roman" w:eastAsiaTheme="minorEastAsia" w:hAnsi="Times New Roman" w:cs="Times New Roman"/>
          <w:sz w:val="24"/>
          <w:szCs w:val="24"/>
          <w:lang w:eastAsia="ru-RU"/>
        </w:rPr>
        <w:lastRenderedPageBreak/>
        <w:t>соответственно - вредные и (или) опасные факторы, идентификация) включает в себя следующие этапы: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выявление и описание имеющихся на рабочем месте факторов производственной среды и трудового процесса, источников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(далее - классификатор), содержащимся в приложении N 2 к настоящему приказу;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принятие решения о проведении исследований (испытаний) и измерений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оформление результатов идентификации.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6. Идентификация осуществляется экспертом организации, проводящей специальную оценку условий труда (далее - эксперт). Результаты идентификации оформляются экспертом и утверждаются комиссией по проведению специальной оценки условий труда, формируемой в порядке, установленном Федеральным законом </w:t>
      </w:r>
      <w:hyperlink r:id="rId16"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 (далее - комиссия).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Выявление на рабочем месте факторов производственной среды и трудового процесса, источников вредных и (или) опасных факторов осуществляется путем изучения представляемых работодателем: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технической (эксплуатационной) документации на производственное оборудование (машины, механизмы, инструменты и приспособления), используемое работником на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технологической документации, характеристик технологического процесса;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должностной инструкции и иных документов, регламентирующих обязанности работника;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проектов строительства и (или) реконструкции производственных объектов (зданий, сооружений, производственных помещений), если на рабочих местах ведутся работы по строительству и (или) реконструкции производственных объектов;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характеристик применяемых в производстве материалов и сырья (в том числе установленных по результатам токсикологической, санитарно-гигиенической и медико-биологической оценок);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деклараций о соответствии и (или) сертификатов соответствия производственного оборудования, машин, механизмов, инструментов и приспособлений, технологических процессов, веществ, материалов, сырья установленным требованиям;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результатов ранее проводившихся на данном рабочем месте исследований (испытаний) и измерений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предложений работников по осуществлению на их рабочих местах идентификации потенциально вредных и (или) опасных производственных факторов (при наличии таких предложений);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результатов, полученных при осуществлении организованного на рабочих местах производственного контроля за условиями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результатов, полученных при осуществлении федерального государственного санитарно-эпидемиологического надзора (акт проверки, предписание, акт о случае профессионального заболевания).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Указанные в настоящем пункте документация и материалы представляются работодателем при их наличии.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классификатором, производится путем сравнения их наименований с учетом следующего: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 параметры микроклимата (пункты 1.1.1 - 1.1.4 классификатора) идентифицируются как вредные и (или) опасные факторы на рабочих местах, расположенных в закрытых производственных помещениях (рабочих зонах), на которых имеется производственное оборудование, являющееся искусственным источником тепла и (или) холода (за исключением климатического оборудования, не используемого в технологическом процессе и предназначенного для создания комфортных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 аэрозоли преимущественно фиброгенного действия (АПФД) (пункт 1.2 классификатора) идентифицируются как вредные и (или) опасные факторы только на рабочих местах, на которых осуществляется добыча, обогащение, производство и использование в технологическом процессе пылящих веществ, относящихся к АПФД, а также эксплуатируется оборудование, работа на котором сопровождается выделением АПФД (пыли, содержащие природные и искусственные минеральные волокна, угольная пыль);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виброакустические факторы (пункты 1.3.1 - 1.3.5 классификатора) идентифицируются как вредные и (или) опасные факторы только на рабочих местах, на которых имеется производственное оборудование, являющееся источником указанных виброакустических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 параметры световой среды (пункты 1.4 и 1.4.1 классификатора) идентифицируются как вредные и (или) опасные факторы только при выполнении прецизионных работ с величиной объектов различения менее 0,5 мм (кроме работ, допускающих масштабирование объектов различения), при наличии слепящих источников света, при проведении работ с объектами различения и рабочими поверхностями, обладающими направленно-рассеянным и смешанным отражением, при осуществлении подземных работ, в том числе работ по эксплуатации метрополитена;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 неионизирующие излучения (пункты 1.5.1 - 1.5.6 классификатора) идентифицируются как вредные и (или) опасные факторы только при наличии на рабочем месте производственного (технологического) оборудования, являющегося источником неионизирующих излучений, за исключением рабочих мест, на которых работники заняты только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е) ионизирующие излучения (пункты 1.6.1 - 1.6.2 классификатора) идентифицируются как вредные и (или) опасные факторы только на рабочих местах, на которых осуществляются добыча, обогащение, производство и использование в технологическом процессе </w:t>
      </w:r>
      <w:r w:rsidRPr="004F6638">
        <w:rPr>
          <w:rFonts w:ascii="Times New Roman" w:eastAsiaTheme="minorEastAsia" w:hAnsi="Times New Roman" w:cs="Times New Roman"/>
          <w:sz w:val="24"/>
          <w:szCs w:val="24"/>
          <w:lang w:eastAsia="ru-RU"/>
        </w:rPr>
        <w:lastRenderedPageBreak/>
        <w:t>радиоактивных веществ и изотопов, а также при эксплуатации производственного оборудования, создающего ионизирующее излучение;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ж) химический фактор (пункты 2 и 2.1 классификатора) идентифицируется как вредный и (или) опасный фактор только на рабочих местах при добыче, обогащении, химическом синтезе, использовании в технологическом процессе и/или химическом анализе химических веществ и смесей, выделении химических веществ в ходе технологического процесса, а также при производстве веществ биологической природы;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з) биологический фактор (пункты 3.1 - 3.5 классификатора) идентифицируется как вредный и (или) опасный фактор только на рабочих местах: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организаций, осуществляющих деятельность в области использования возбудителей инфекционных заболеваний человека и животных и (или) в замкнутых системах генно-инженерно-модифицированных организмов III и IV степеней потенциальной опасности при наличии соответствующих разрешительных документов (лицензии) на право осуществления такой деятельности;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организаций, осуществляющих деятельность в области использования в замкнутых системах генно-инженерно-модифицированных организмов II степени потенциальной опасности;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медицинских и иных работников, непосредственно осуществляющих медицинскую деятельность;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работников, непосредственно осуществляющих ветеринарную деятельность, государственный ветеринарный надзор и (или) проводящих ветеринарно-санитарную экспертизу;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работников, непосредственно осуществляющих работы по обслуживанию и ремонту относящихся к жилищно-коммунальному хозяйству канализационных сооружений и сетей, в том числе производственного оборудования на этих объектах;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 показатели тяжести трудового процесса (пункты 4.1 - 4.7 классификатора) идентифицируются как вредные и (или) опасные факторы только на рабочих местах, на которых работниками осуществляется выполнение обусловленных технологическим процессом (трудовой функцией) работ по поднятию и переноске грузов вручную, работ в вынужденном положении или положении "стоя", при перемещении в пространстве;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 показатели напряженности трудового процесса (пункты 5.1 - 5.7 классификатора) идентифицируются как вредные и (или) опасные факторы при выполнении работ по диспетчеризации производственных процессов, в том числе конвейерного типа, на рабочих местах операторов производственного оборудования, при управлении транспортными средствами.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 Имеющиеся на рабочем месте факторы производственной среды и трудового процесса признаются идентифицированными вредными и (или) опасными факторами в случае совпадения их наименований с наименованиями факторов производственной среды и трудового процесса, предусмотренных классификатором.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сопоставление и установление совпадения имеющихся на рабочем месте химических факторов с химическими факторами, предусмотренными классификатором, производится путем сопоставления их химических названий по международным классификациям, синонимов, торговых названий, идентификационных номеров и других характеристик, идентифицирующих химическое вещество.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Все вредные и (или) опасные факторы, которые идентифицированы на рабочем месте, подлежат исследованиям (испытаниям) и измерениям в порядке, установленном главой III настоящей Методики, и с учетом особенностей проведения специальной оценки условий труда в отношении рабочих мест в организациях, осуществляющих отдельные виды деятельности, если установление указанных особенностей предусмотрено </w:t>
      </w:r>
      <w:hyperlink r:id="rId17" w:history="1">
        <w:r w:rsidRPr="004F6638">
          <w:rPr>
            <w:rFonts w:ascii="Times New Roman" w:eastAsiaTheme="minorEastAsia" w:hAnsi="Times New Roman" w:cs="Times New Roman"/>
            <w:sz w:val="24"/>
            <w:szCs w:val="24"/>
            <w:u w:val="single"/>
            <w:lang w:eastAsia="ru-RU"/>
          </w:rPr>
          <w:t>перечнем</w:t>
        </w:r>
      </w:hyperlink>
      <w:r w:rsidRPr="004F6638">
        <w:rPr>
          <w:rFonts w:ascii="Times New Roman" w:eastAsiaTheme="minorEastAsia" w:hAnsi="Times New Roman" w:cs="Times New Roman"/>
          <w:sz w:val="24"/>
          <w:szCs w:val="24"/>
          <w:lang w:eastAsia="ru-RU"/>
        </w:rPr>
        <w:t>, утвержденным Правительством Российской Федерации &lt;3&gt;.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&lt;3&gt; Утвержден постановлением Правительства Российской Федерации </w:t>
      </w:r>
      <w:hyperlink r:id="rId18" w:history="1">
        <w:r w:rsidRPr="004F6638">
          <w:rPr>
            <w:rFonts w:ascii="Times New Roman" w:eastAsiaTheme="minorEastAsia" w:hAnsi="Times New Roman" w:cs="Times New Roman"/>
            <w:sz w:val="24"/>
            <w:szCs w:val="24"/>
            <w:u w:val="single"/>
            <w:lang w:eastAsia="ru-RU"/>
          </w:rPr>
          <w:t>от 14 октября 2022 г. N 1830</w:t>
        </w:r>
      </w:hyperlink>
      <w:r w:rsidRPr="004F6638">
        <w:rPr>
          <w:rFonts w:ascii="Times New Roman" w:eastAsiaTheme="minorEastAsia" w:hAnsi="Times New Roman" w:cs="Times New Roman"/>
          <w:sz w:val="24"/>
          <w:szCs w:val="24"/>
          <w:lang w:eastAsia="ru-RU"/>
        </w:rPr>
        <w:t xml:space="preserve"> "О перечне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 Срок действия до 1 марта 2029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 По результатам идентификации экспертом оформляется заключение.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трудового процесса, предусмотренных классификатором, экспертом фиксируется в своем заключении отсутствие на рабочем месте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 На основании заключения эксперта, указанного в пункте 10 настоящей Методики, комиссия принимает решение о проведении на рабочем месте исследований (испытаний) и измерений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Решения комиссии принимаются простым большинством голосов и оформляются протоколом заседания комиссии. Члены комиссии, не согласные с принятым решением, подписывают решение с изложением своего аргументированного особого мнения, которое приобщается к протоколу заседания комиссии.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 &lt;4&gt;.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&lt;4&gt; </w:t>
      </w:r>
      <w:hyperlink r:id="rId19" w:history="1">
        <w:r w:rsidRPr="004F6638">
          <w:rPr>
            <w:rFonts w:ascii="Times New Roman" w:eastAsiaTheme="minorEastAsia" w:hAnsi="Times New Roman" w:cs="Times New Roman"/>
            <w:sz w:val="24"/>
            <w:szCs w:val="24"/>
            <w:u w:val="single"/>
            <w:lang w:eastAsia="ru-RU"/>
          </w:rPr>
          <w:t>Часть 2</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 Результаты идентификации заносятся в раздел "Перечень рабочих мест, на которых проводилась специальная оценка условий труда" отчета о проведении специальной оценки условий труда (далее - отчет), форма которого предусмотрена приложением N 3 к настоящему приказу.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14. В соответствии с </w:t>
      </w:r>
      <w:hyperlink r:id="rId20" w:history="1">
        <w:r w:rsidRPr="004F6638">
          <w:rPr>
            <w:rFonts w:ascii="Times New Roman" w:eastAsiaTheme="minorEastAsia" w:hAnsi="Times New Roman" w:cs="Times New Roman"/>
            <w:sz w:val="24"/>
            <w:szCs w:val="24"/>
            <w:u w:val="single"/>
            <w:lang w:eastAsia="ru-RU"/>
          </w:rPr>
          <w:t>частью 6</w:t>
        </w:r>
      </w:hyperlink>
      <w:r w:rsidRPr="004F6638">
        <w:rPr>
          <w:rFonts w:ascii="Times New Roman" w:eastAsiaTheme="minorEastAsia" w:hAnsi="Times New Roman" w:cs="Times New Roman"/>
          <w:sz w:val="24"/>
          <w:szCs w:val="24"/>
          <w:lang w:eastAsia="ru-RU"/>
        </w:rPr>
        <w:t xml:space="preserve"> статьи 10 Федерального закона от 28 декабря 2013 г. N 426-ФЗ "О специальной оценке условий труда" идентификация не осуществляется в отношении: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 рабочих мест работников, профессии, должности, специальности которых включены в списки работ, производств, профессий, должностей, специальностей и учреждений </w:t>
      </w:r>
      <w:r w:rsidRPr="004F6638">
        <w:rPr>
          <w:rFonts w:ascii="Times New Roman" w:eastAsiaTheme="minorEastAsia" w:hAnsi="Times New Roman" w:cs="Times New Roman"/>
          <w:sz w:val="24"/>
          <w:szCs w:val="24"/>
          <w:lang w:eastAsia="ru-RU"/>
        </w:rPr>
        <w:lastRenderedPageBreak/>
        <w:t>(организаций), с учетом которых осуществляется досрочное назначение страховой пенсии по старости;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рабочих мест, на которых по результатам предыдущей проведенной специальной оценки условий труда были установлены вредные и (или) опасные условия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Перечень вредных и (или) опасных производственных факторов, подлежащих исследованиям (испытаниям) и измерениям, на указанных в настоящем пункте рабочих местах определяется экспертом исходя из перечня вредных и (или) опасных факторов, указанных в частях </w:t>
      </w:r>
      <w:hyperlink r:id="rId21" w:history="1">
        <w:r w:rsidRPr="004F6638">
          <w:rPr>
            <w:rFonts w:ascii="Times New Roman" w:eastAsiaTheme="minorEastAsia" w:hAnsi="Times New Roman" w:cs="Times New Roman"/>
            <w:sz w:val="24"/>
            <w:szCs w:val="24"/>
            <w:u w:val="single"/>
            <w:lang w:eastAsia="ru-RU"/>
          </w:rPr>
          <w:t>1</w:t>
        </w:r>
      </w:hyperlink>
      <w:r w:rsidRPr="004F6638">
        <w:rPr>
          <w:rFonts w:ascii="Times New Roman" w:eastAsiaTheme="minorEastAsia" w:hAnsi="Times New Roman" w:cs="Times New Roman"/>
          <w:sz w:val="24"/>
          <w:szCs w:val="24"/>
          <w:lang w:eastAsia="ru-RU"/>
        </w:rPr>
        <w:t xml:space="preserve"> и </w:t>
      </w:r>
      <w:hyperlink r:id="rId22" w:history="1">
        <w:r w:rsidRPr="004F6638">
          <w:rPr>
            <w:rFonts w:ascii="Times New Roman" w:eastAsiaTheme="minorEastAsia" w:hAnsi="Times New Roman" w:cs="Times New Roman"/>
            <w:sz w:val="24"/>
            <w:szCs w:val="24"/>
            <w:u w:val="single"/>
            <w:lang w:eastAsia="ru-RU"/>
          </w:rPr>
          <w:t>2</w:t>
        </w:r>
      </w:hyperlink>
      <w:r w:rsidRPr="004F6638">
        <w:rPr>
          <w:rFonts w:ascii="Times New Roman" w:eastAsiaTheme="minorEastAsia" w:hAnsi="Times New Roman" w:cs="Times New Roman"/>
          <w:sz w:val="24"/>
          <w:szCs w:val="24"/>
          <w:lang w:eastAsia="ru-RU"/>
        </w:rPr>
        <w:t xml:space="preserve"> статьи 13 Федерального закона от 28 декабря 2013 г. N 426-ФЗ "О специальной оценке условий труда" &lt;5&gt;.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&lt;5&gt; </w:t>
      </w:r>
      <w:hyperlink r:id="rId23" w:history="1">
        <w:r w:rsidRPr="004F6638">
          <w:rPr>
            <w:rFonts w:ascii="Times New Roman" w:eastAsiaTheme="minorEastAsia" w:hAnsi="Times New Roman" w:cs="Times New Roman"/>
            <w:sz w:val="24"/>
            <w:szCs w:val="24"/>
            <w:u w:val="single"/>
            <w:lang w:eastAsia="ru-RU"/>
          </w:rPr>
          <w:t>Часть 7</w:t>
        </w:r>
      </w:hyperlink>
      <w:r w:rsidRPr="004F6638">
        <w:rPr>
          <w:rFonts w:ascii="Times New Roman" w:eastAsiaTheme="minorEastAsia" w:hAnsi="Times New Roman" w:cs="Times New Roman"/>
          <w:sz w:val="24"/>
          <w:szCs w:val="24"/>
          <w:lang w:eastAsia="ru-RU"/>
        </w:rPr>
        <w:t xml:space="preserve"> статьи 10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Эксперту в целях определения перечня вредных и (или) опасных производственных факторов, подлежащих исследованиям (испытаниям) и измерениям, на рабочих местах, указанных в подпунктах первом - третьем настоящего пункта, необходимо осуществлять следующие предусмотренные частями </w:t>
      </w:r>
      <w:hyperlink r:id="rId24" w:history="1">
        <w:r w:rsidRPr="004F6638">
          <w:rPr>
            <w:rFonts w:ascii="Times New Roman" w:eastAsiaTheme="minorEastAsia" w:hAnsi="Times New Roman" w:cs="Times New Roman"/>
            <w:sz w:val="24"/>
            <w:szCs w:val="24"/>
            <w:u w:val="single"/>
            <w:lang w:eastAsia="ru-RU"/>
          </w:rPr>
          <w:t>3</w:t>
        </w:r>
      </w:hyperlink>
      <w:r w:rsidRPr="004F6638">
        <w:rPr>
          <w:rFonts w:ascii="Times New Roman" w:eastAsiaTheme="minorEastAsia" w:hAnsi="Times New Roman" w:cs="Times New Roman"/>
          <w:sz w:val="24"/>
          <w:szCs w:val="24"/>
          <w:lang w:eastAsia="ru-RU"/>
        </w:rPr>
        <w:t xml:space="preserve"> и </w:t>
      </w:r>
      <w:hyperlink r:id="rId25" w:history="1">
        <w:r w:rsidRPr="004F6638">
          <w:rPr>
            <w:rFonts w:ascii="Times New Roman" w:eastAsiaTheme="minorEastAsia" w:hAnsi="Times New Roman" w:cs="Times New Roman"/>
            <w:sz w:val="24"/>
            <w:szCs w:val="24"/>
            <w:u w:val="single"/>
            <w:lang w:eastAsia="ru-RU"/>
          </w:rPr>
          <w:t>8</w:t>
        </w:r>
      </w:hyperlink>
      <w:r w:rsidRPr="004F6638">
        <w:rPr>
          <w:rFonts w:ascii="Times New Roman" w:eastAsiaTheme="minorEastAsia" w:hAnsi="Times New Roman" w:cs="Times New Roman"/>
          <w:sz w:val="24"/>
          <w:szCs w:val="24"/>
          <w:lang w:eastAsia="ru-RU"/>
        </w:rPr>
        <w:t xml:space="preserve"> статьи 10 Федерального закона от 28 декабря 2013 г. N 426-ФЗ "О специальной оценке условий труда" мероприятия: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изучение документов, характеризующих технологический процесс, используемые на рабочем месте производственное оборудование, материалы и сырье, а также регламентирующих обязанности работника, занятого на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обследование рабочего места;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ознакомление с работами, фактически выполняемыми работником на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изучение предложений работников по осуществлению на их рабочих местах идентификации потенциально вредных и (или) опасных производственных факторов (при их наличии);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иные мероприятия, предусмотренные процедурой осуществления идентификации в соответствии с пунктами 5 и 7 настоящей Методики.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III. Исследования (испытания) и измерения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 Исследованиям (испытаниям) и измерениям подлежат фактические значения вредных и (или) опасных факторов, которые идентифицированы или определены в порядке, установленном главой II настоящей Методики.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 Исследования (испытания) и измерения фактических значений вредных и (или) опасных факторов осуществляются испытательной лабораторией (центром), экспертами и (или) иными работниками организации, проводящей специальную оценку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качестве результатов исследований (испытаний) и измерений вредных и (или) опасных </w:t>
      </w:r>
      <w:r w:rsidRPr="004F6638">
        <w:rPr>
          <w:rFonts w:ascii="Times New Roman" w:eastAsiaTheme="minorEastAsia" w:hAnsi="Times New Roman" w:cs="Times New Roman"/>
          <w:sz w:val="24"/>
          <w:szCs w:val="24"/>
          <w:lang w:eastAsia="ru-RU"/>
        </w:rPr>
        <w:lastRenderedPageBreak/>
        <w:t>факторов могут использоваться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но не ранее чем за 6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&lt;6&gt;.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&lt;6&gt; </w:t>
      </w:r>
      <w:hyperlink r:id="rId26" w:history="1">
        <w:r w:rsidRPr="004F6638">
          <w:rPr>
            <w:rFonts w:ascii="Times New Roman" w:eastAsiaTheme="minorEastAsia" w:hAnsi="Times New Roman" w:cs="Times New Roman"/>
            <w:sz w:val="24"/>
            <w:szCs w:val="24"/>
            <w:u w:val="single"/>
            <w:lang w:eastAsia="ru-RU"/>
          </w:rPr>
          <w:t>Часть 7</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Методики (методы) измерений вредных и (или) опасных факторов, состав экспертов и иных работников, проводящих исследования (испытания) и измерения вредных и (или) опасных факторов, определяются организацией, проводящей специальную оценку условий труда, самостоятельно.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 При проведении измерений вредных и (или) опасных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настоящей Методикой &lt;7&gt;.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&lt;7&gt; </w:t>
      </w:r>
      <w:hyperlink r:id="rId27" w:history="1">
        <w:r w:rsidRPr="004F6638">
          <w:rPr>
            <w:rFonts w:ascii="Times New Roman" w:eastAsiaTheme="minorEastAsia" w:hAnsi="Times New Roman" w:cs="Times New Roman"/>
            <w:sz w:val="24"/>
            <w:szCs w:val="24"/>
            <w:u w:val="single"/>
            <w:lang w:eastAsia="ru-RU"/>
          </w:rPr>
          <w:t>Часть 4</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 Средства измерений, применяемые при проведении измерений вредных и (или) опасных факторов, должны соответствовать обязательным метрологическим требованиям &lt;8&gt; к измерениям,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(в том числе по показателям точности измерения).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&lt;8&gt; Постановление Правительства Российской Федерации от 16 ноября 2020 г. N 1847 "Об утверждении перечня измерений, относящихся к сфере государственного регулирования обеспечения единства измерений". Срок действия до 1 января 2027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19. Исследования (испытания) и измерения вредных и (или) опасных факторов проводятся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w:t>
      </w:r>
      <w:r w:rsidRPr="004F6638">
        <w:rPr>
          <w:rFonts w:ascii="Times New Roman" w:eastAsiaTheme="minorEastAsia" w:hAnsi="Times New Roman" w:cs="Times New Roman"/>
          <w:sz w:val="24"/>
          <w:szCs w:val="24"/>
          <w:lang w:eastAsia="ru-RU"/>
        </w:rPr>
        <w:lastRenderedPageBreak/>
        <w:t>оборудования, материалов и сырья, являющихся источниками вредных и (или) опасных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 Результаты проведенных исследований (испытаний) и измерений вредных и (или) опасных факторов оформляются протоколами в отношении каждого из этих вредных и (или) опасных факторов, подвергнутых исследованиям (испытаниям) и измерениям, с указанием: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полного наименования организации, проводящей специальную оценку условий труда, регистрационного номера записи в реестре организаций, проводящих специальную оценку условий труда, а также сведений об аккредитации в национальной системе аккредитации (номер аттестата аккредитации, уникальный номер записи об аккредитации в реестре аккредитованных лиц);</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уникального номера протокола (определяется организацией, проводящей специальную оценку условий труда), содержащегося на каждой странице протокола вместе с номером страницы протокола;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полного наименования работодателя;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адреса в пределах места нахождения работодателя и адреса места осуществления деятельности работодателя;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наименования структурного подразделения работодателя (при наличии);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индивидуального номера рабочего места, который при внеплановой и (или) повторной специальной оценке условий труда должен полностью совпадать с первоначально указанным для данного рабочего места, наименования должности, профессии или специальности работника (работников), занятого (занятых) на данном рабочем месте, в соответствии с наименованием этих должностей, профессий или специальностей, указанным в квалификационных справочниках, утверждаемых в установленном порядке;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наименования вредного и (или) опасного фактора, в отношении которого проведены исследования (испытания) и измерения, в соответствии с классификатором;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 даты проведения исследований (испытаний) и измерений вредного и (или) опасного фактора;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 сведений о применяемых средствах измерений (наименование прибора, инструмента, заводской номер, срок действия и номер свидетельства о поверке);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 наименования примененных методик (методов) измерений вредных и (или) опасных факторов, реквизитов нормативных правовых актов, их утвердивших (вид нормативного правового акта, наименование органа, его издавшего, название, дата и номер);</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 реквизитов нормативных правовых актов (вид нормативного правового акта, наименование органа, его издавшего, название, дата и номер), регламентирующих предельно допустимые концентрации (далее - ЦДК), предельно допустимые уровни (далее - ПДУ), а также нормативные уровни исследуемого (испытуемого) и измеряемого вредного и (или) опасного фактора;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 места проведения исследований (испытаний) и измерений вредного и (или) опасного фактора с приложением при необходимости эскиза помещения, в котором они проводились, с указанием размещения производственного оборудования и нанесением на нем точки (точек) исследований (испытаний) и измерений вредного и (или) опасного фактора (отбора проб);</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13) нормативное и фактическое значения уровня исследуемого (испытуемого) и измеряемого вредного и (или) опасного фактора с указанием при необходимости единиц измерений и продолжительности его воздействия на всех местах проведения исследований (испытаний) и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 заключение по фактическому уровню вредного и (или) опасного фактора на всех местах проведения его исследований (испытаний) и измерений с указанием итогового класса (подкласса) условий труда вредного и (или) опасного фактора;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 фамилий, имен, отчеств (при наличии), должностей специалистов организации, проводящей специальную оценку условий труда, проводивших исследования (испытания) и измерения вредного и (или) опасного фактора.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 В случае если в качестве результатов исследований (испытаний) и измерений вредных и (или) опасных факторов использованы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&lt;9&gt;, то к протоколу прикладывается заключение эксперта о возможности использования указанных результатов.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&lt;9&gt; </w:t>
      </w:r>
      <w:hyperlink r:id="rId28" w:history="1">
        <w:r w:rsidRPr="004F6638">
          <w:rPr>
            <w:rFonts w:ascii="Times New Roman" w:eastAsiaTheme="minorEastAsia" w:hAnsi="Times New Roman" w:cs="Times New Roman"/>
            <w:sz w:val="24"/>
            <w:szCs w:val="24"/>
            <w:u w:val="single"/>
            <w:lang w:eastAsia="ru-RU"/>
          </w:rPr>
          <w:t>Часть 7</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22. В отношении рабочего места, условия труда на котором по результатам исследований (испытаний) и измерений вредных и (или) опасных производственных факторов признаны оптимальными или допустимыми, за исключением рабочих мест, указанных в пункте 11 настоящей Методики, работодателем подается декларация соответствия условий труда государственным нормативным требованиям охраны труда в порядке, установленном Федеральным законом </w:t>
      </w:r>
      <w:hyperlink r:id="rId29"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23. Комиссия вправе принять решение о невозможности проведения исследований (испытаний) и измерений вредных и (или) опасных факторов в случае, если проведение указанных исследований (испытаний) и измерений на рабочем месте может создать угрозу для жизни работника,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 &lt;10&gt;.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&lt;10&gt; </w:t>
      </w:r>
      <w:hyperlink r:id="rId30" w:history="1">
        <w:r w:rsidRPr="004F6638">
          <w:rPr>
            <w:rFonts w:ascii="Times New Roman" w:eastAsiaTheme="minorEastAsia" w:hAnsi="Times New Roman" w:cs="Times New Roman"/>
            <w:sz w:val="24"/>
            <w:szCs w:val="24"/>
            <w:u w:val="single"/>
            <w:lang w:eastAsia="ru-RU"/>
          </w:rPr>
          <w:t>Часть 9</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Решение о невозможности проведения исследований (испытаний) и измерений по основанию, указанному в настоящем пункте, оформляется протоколом комиссии, содержащим обоснование принятия этого решения и являющимся неотъемлемой частью отчета &lt;11&gt;.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&lt;11&gt; </w:t>
      </w:r>
      <w:hyperlink r:id="rId31" w:history="1">
        <w:r w:rsidRPr="004F6638">
          <w:rPr>
            <w:rFonts w:ascii="Times New Roman" w:eastAsiaTheme="minorEastAsia" w:hAnsi="Times New Roman" w:cs="Times New Roman"/>
            <w:sz w:val="24"/>
            <w:szCs w:val="24"/>
            <w:u w:val="single"/>
            <w:lang w:eastAsia="ru-RU"/>
          </w:rPr>
          <w:t>Часть 10</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w:t>
      </w:r>
      <w:r w:rsidRPr="004F6638">
        <w:rPr>
          <w:rFonts w:ascii="Times New Roman" w:eastAsiaTheme="minorEastAsia" w:hAnsi="Times New Roman" w:cs="Times New Roman"/>
          <w:sz w:val="24"/>
          <w:szCs w:val="24"/>
          <w:lang w:eastAsia="ru-RU"/>
        </w:rPr>
        <w:lastRenderedPageBreak/>
        <w:t>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24. Работодатель в течение десяти рабочих дней со дня принятия решения, указанного в пункте 23 настоящей Методики, направляет в территориальный орган Федеральной службы по труду и занятости по месту своего нахождения копию данного протокола комиссии, содержащего это решение &lt;12&gt;.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&lt;12&gt; </w:t>
      </w:r>
      <w:hyperlink r:id="rId32" w:history="1">
        <w:r w:rsidRPr="004F6638">
          <w:rPr>
            <w:rFonts w:ascii="Times New Roman" w:eastAsiaTheme="minorEastAsia" w:hAnsi="Times New Roman" w:cs="Times New Roman"/>
            <w:sz w:val="24"/>
            <w:szCs w:val="24"/>
            <w:u w:val="single"/>
            <w:lang w:eastAsia="ru-RU"/>
          </w:rPr>
          <w:t>Часть 11</w:t>
        </w:r>
      </w:hyperlink>
      <w:r w:rsidRPr="004F6638">
        <w:rPr>
          <w:rFonts w:ascii="Times New Roman" w:eastAsiaTheme="minorEastAsia" w:hAnsi="Times New Roman" w:cs="Times New Roman"/>
          <w:sz w:val="24"/>
          <w:szCs w:val="24"/>
          <w:lang w:eastAsia="ru-RU"/>
        </w:rPr>
        <w:t xml:space="preserve"> статьи 12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IV. Отнесение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 По результатам проведения исследований (испытаний) и измерений вредных и (или) опасных факторов экспертом осуществляется отнесение условий труда на рабочем месте по степени вредности и (или) опасности к классу (подклассу) условий труда (далее - отнесение условий труда к классу (подклассу)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осуществляется с учетом степени отклонения фактических значений вредных и (или) опасных факторов, полученных по результатам проведения их исследований (испытаний) и измерений в порядке, предусмотренном главой III настоящей Методики, от нормативов (гигиенических нормативов) условий труда и продолжительности воздействия вредных и (или) опасных факторов на работника в течение рабочего дня (смены).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При проведении специальной оценки условий труда на рабочих местах, расположенных в отдельных видах транспорта и объектах транспортной инфраструктуры, в отношении которых не установлены особенности проведения специальной оценки условий труда, применяются гигиенические </w:t>
      </w:r>
      <w:hyperlink r:id="rId33" w:history="1">
        <w:r w:rsidRPr="004F6638">
          <w:rPr>
            <w:rFonts w:ascii="Times New Roman" w:eastAsiaTheme="minorEastAsia" w:hAnsi="Times New Roman" w:cs="Times New Roman"/>
            <w:sz w:val="24"/>
            <w:szCs w:val="24"/>
            <w:u w:val="single"/>
            <w:lang w:eastAsia="ru-RU"/>
          </w:rPr>
          <w:t>нормативы</w:t>
        </w:r>
      </w:hyperlink>
      <w:r w:rsidRPr="004F6638">
        <w:rPr>
          <w:rFonts w:ascii="Times New Roman" w:eastAsiaTheme="minorEastAsia" w:hAnsi="Times New Roman" w:cs="Times New Roman"/>
          <w:sz w:val="24"/>
          <w:szCs w:val="24"/>
          <w:lang w:eastAsia="ru-RU"/>
        </w:rPr>
        <w:t>, установленные для отдельных видов транспорта и объектов транспортной инфраструктуры &lt;13&gt;.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&lt;13&gt; Постановление Главного государственного санитарного врача Российской Федерации </w:t>
      </w:r>
      <w:hyperlink r:id="rId34" w:history="1">
        <w:r w:rsidRPr="004F6638">
          <w:rPr>
            <w:rFonts w:ascii="Times New Roman" w:eastAsiaTheme="minorEastAsia" w:hAnsi="Times New Roman" w:cs="Times New Roman"/>
            <w:sz w:val="24"/>
            <w:szCs w:val="24"/>
            <w:u w:val="single"/>
            <w:lang w:eastAsia="ru-RU"/>
          </w:rPr>
          <w:t>от 16 октября 2020 г. N 30</w:t>
        </w:r>
      </w:hyperlink>
      <w:r w:rsidRPr="004F6638">
        <w:rPr>
          <w:rFonts w:ascii="Times New Roman" w:eastAsiaTheme="minorEastAsia" w:hAnsi="Times New Roman" w:cs="Times New Roman"/>
          <w:sz w:val="24"/>
          <w:szCs w:val="24"/>
          <w:lang w:eastAsia="ru-RU"/>
        </w:rPr>
        <w:t xml:space="preserve"> "Об утверждении санитарных правил СП 2.5.3650-20 "Санитарно-эпидемиологические требования к отдельным видам транспорта и объектам транспортной инфраструктуры" (зарегистрировано Министерством юстиции Российской Федерации 25 декабря 2020 г., регистрационный N 61815). Срок действия до 1 января 2027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26. Отнесение условий труда к классу (подклассу) условий труда при воздействии химического фактора осуществляется в зависимости от соотношения фактической концентрации вредных химических веществ в воздухе рабочей зоны к соответствующей (максимальной и (или) среднесменной) предельно допустимой концентрации данных веществ (далее соответственно - </w:t>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установленной в </w:t>
      </w:r>
      <w:hyperlink r:id="rId37" w:history="1">
        <w:r w:rsidRPr="004F6638">
          <w:rPr>
            <w:rFonts w:ascii="Times New Roman" w:eastAsiaTheme="minorEastAsia" w:hAnsi="Times New Roman" w:cs="Times New Roman"/>
            <w:sz w:val="24"/>
            <w:szCs w:val="24"/>
            <w:u w:val="single"/>
            <w:lang w:eastAsia="ru-RU"/>
          </w:rPr>
          <w:t>СанПиН 1.2.3685-21</w:t>
        </w:r>
      </w:hyperlink>
      <w:r w:rsidRPr="004F6638">
        <w:rPr>
          <w:rFonts w:ascii="Times New Roman" w:eastAsiaTheme="minorEastAsia" w:hAnsi="Times New Roman" w:cs="Times New Roman"/>
          <w:sz w:val="24"/>
          <w:szCs w:val="24"/>
          <w:lang w:eastAsia="ru-RU"/>
        </w:rPr>
        <w:t xml:space="preserve"> "Гигиенические нормативы и требования к обеспечению безопасности и (или) безвредности для человека факторов среды </w:t>
      </w:r>
      <w:r w:rsidRPr="004F6638">
        <w:rPr>
          <w:rFonts w:ascii="Times New Roman" w:eastAsiaTheme="minorEastAsia" w:hAnsi="Times New Roman" w:cs="Times New Roman"/>
          <w:sz w:val="24"/>
          <w:szCs w:val="24"/>
          <w:lang w:eastAsia="ru-RU"/>
        </w:rPr>
        <w:lastRenderedPageBreak/>
        <w:t>обитания" &lt;14&gt; (далее -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&lt;14&gt; Утверждены постановлением Главного государственного санитарного врача Российской Федерации </w:t>
      </w:r>
      <w:hyperlink r:id="rId38" w:history="1">
        <w:r w:rsidRPr="004F6638">
          <w:rPr>
            <w:rFonts w:ascii="Times New Roman" w:eastAsiaTheme="minorEastAsia" w:hAnsi="Times New Roman" w:cs="Times New Roman"/>
            <w:sz w:val="24"/>
            <w:szCs w:val="24"/>
            <w:u w:val="single"/>
            <w:lang w:eastAsia="ru-RU"/>
          </w:rPr>
          <w:t>от 28 января 2021 г. N 2</w:t>
        </w:r>
      </w:hyperlink>
      <w:r w:rsidRPr="004F6638">
        <w:rPr>
          <w:rFonts w:ascii="Times New Roman" w:eastAsiaTheme="minorEastAsia" w:hAnsi="Times New Roman" w:cs="Times New Roman"/>
          <w:sz w:val="24"/>
          <w:szCs w:val="24"/>
          <w:lang w:eastAsia="ru-RU"/>
        </w:rPr>
        <w:t xml:space="preserve">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(зарегистрировано Министерством юстиции Российской Федерации 29 января 2021 г., регистрационный N 62296) с изменениями, внесенными постановлением Главного государственного санитарного врача Российской Федерации от 30 декабря 2022 г. N 24 (зарегистрировано Министерством юстиции Российской Федерации 9 марта 2023 г., регистрационный N 72558). Срок действия до 1 марта 2027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27. Отнесение условий труда к классу (подклассу) условий труда при воздействии химического фактора проводится в соответствии с таблицей приложения N 1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28. Отнесение условий труда к классу (подклассу) условий труда при воздействии химического фактора осуществляется как по максимальным, так и по среднесменным концентрациям вредных химических веществ, для которых установлены </w:t>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и </w:t>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При этом класс (подкласс) условий труда устанавливается по более высокой степени вредности, полученной из сравнения фактической концентрации вредных химических веществ с соответствующей ПДК.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29. При одновременном содержании в воздухе рабочей зоны двух и более вредных химических веществ разнонаправленного действия отнесение условий труда к классу (подклассу) условий труда при воздействии химического фактора осуществляется по вредному химическому веществу, концентрация которого соответствует наиболее высокому классу (подклассу) условий труда, определенному в соответствии с частями </w:t>
      </w:r>
      <w:hyperlink r:id="rId41" w:history="1">
        <w:r w:rsidRPr="004F6638">
          <w:rPr>
            <w:rFonts w:ascii="Times New Roman" w:eastAsiaTheme="minorEastAsia" w:hAnsi="Times New Roman" w:cs="Times New Roman"/>
            <w:sz w:val="24"/>
            <w:szCs w:val="24"/>
            <w:u w:val="single"/>
            <w:lang w:eastAsia="ru-RU"/>
          </w:rPr>
          <w:t>1</w:t>
        </w:r>
      </w:hyperlink>
      <w:r w:rsidRPr="004F6638">
        <w:rPr>
          <w:rFonts w:ascii="Times New Roman" w:eastAsiaTheme="minorEastAsia" w:hAnsi="Times New Roman" w:cs="Times New Roman"/>
          <w:sz w:val="24"/>
          <w:szCs w:val="24"/>
          <w:lang w:eastAsia="ru-RU"/>
        </w:rPr>
        <w:t xml:space="preserve"> - </w:t>
      </w:r>
      <w:hyperlink r:id="rId42" w:history="1">
        <w:r w:rsidRPr="004F6638">
          <w:rPr>
            <w:rFonts w:ascii="Times New Roman" w:eastAsiaTheme="minorEastAsia" w:hAnsi="Times New Roman" w:cs="Times New Roman"/>
            <w:sz w:val="24"/>
            <w:szCs w:val="24"/>
            <w:u w:val="single"/>
            <w:lang w:eastAsia="ru-RU"/>
          </w:rPr>
          <w:t>5</w:t>
        </w:r>
      </w:hyperlink>
      <w:r w:rsidRPr="004F6638">
        <w:rPr>
          <w:rFonts w:ascii="Times New Roman" w:eastAsiaTheme="minorEastAsia" w:hAnsi="Times New Roman" w:cs="Times New Roman"/>
          <w:sz w:val="24"/>
          <w:szCs w:val="24"/>
          <w:lang w:eastAsia="ru-RU"/>
        </w:rPr>
        <w:t xml:space="preserve"> статьи 14 Федерального закона от 28 декабря 2013 г. N 426-ФЗ "О специальной оценке условий труда", и степени вредности. При этом: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присутствие любого количества вредных химических веществ, фактические уровни которых соответствуют подклассу 3.1 вредных условий труда, не увеличивает степень вредности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присутствие трех и более вредных химических веществ, фактические уровни которых соответствуют подклассу 3.2 вредных условий труда, переводят условия труда в подкласс 3.3 вредных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присутствие двух и более вредных химических веществ, фактические уровни которых соответствуют подклассу 3.3 вредных условий труда, переводят условия труда в подкласс 3.4 вредных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присутствие двух и более вредных химических веществ, фактические уровни которых соответствуют подклассу 3.4 вредных условий труда, переводят условия труда в опасные условия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30. В случае, если вредные химические вещества, опасные для развития острого отравления и аллергены, имеют </w:t>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то отнесение условий труда к классу (подклассу) условий труда при воздействии химического фактора осуществляется исходя из соотношения фактических среднесменных концентраций этих веществ с </w:t>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При этом класс (подкласс) условий труда </w:t>
      </w:r>
      <w:r w:rsidRPr="004F6638">
        <w:rPr>
          <w:rFonts w:ascii="Times New Roman" w:eastAsiaTheme="minorEastAsia" w:hAnsi="Times New Roman" w:cs="Times New Roman"/>
          <w:sz w:val="24"/>
          <w:szCs w:val="24"/>
          <w:lang w:eastAsia="ru-RU"/>
        </w:rPr>
        <w:lastRenderedPageBreak/>
        <w:t>устанавливается в соответствии с подпунктом "а" пункта 2 и пунктом 4 таблицы приложения N 1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Наименования, нормативные значения ПДК, агрегатные состояния, класс опасности, особенности действия на организм человека химических веществ, относящихся к соответствующим категориям, предусмотренным пунктами 2 - 7 таблицы приложения N 1 к настоящей Методике, определяются в соответствии с </w:t>
      </w:r>
      <w:hyperlink r:id="rId45" w:history="1">
        <w:r w:rsidRPr="004F6638">
          <w:rPr>
            <w:rFonts w:ascii="Times New Roman" w:eastAsiaTheme="minorEastAsia" w:hAnsi="Times New Roman" w:cs="Times New Roman"/>
            <w:sz w:val="24"/>
            <w:szCs w:val="24"/>
            <w:u w:val="single"/>
            <w:lang w:eastAsia="ru-RU"/>
          </w:rPr>
          <w:t>таблицей 2.1</w:t>
        </w:r>
      </w:hyperlink>
      <w:r w:rsidRPr="004F6638">
        <w:rPr>
          <w:rFonts w:ascii="Times New Roman" w:eastAsiaTheme="minorEastAsia" w:hAnsi="Times New Roman" w:cs="Times New Roman"/>
          <w:sz w:val="24"/>
          <w:szCs w:val="24"/>
          <w:lang w:eastAsia="ru-RU"/>
        </w:rPr>
        <w:t xml:space="preserve"> СанПиН 1.2.3685-21. При указании в данной </w:t>
      </w:r>
      <w:hyperlink r:id="rId46" w:history="1">
        <w:r w:rsidRPr="004F6638">
          <w:rPr>
            <w:rFonts w:ascii="Times New Roman" w:eastAsiaTheme="minorEastAsia" w:hAnsi="Times New Roman" w:cs="Times New Roman"/>
            <w:sz w:val="24"/>
            <w:szCs w:val="24"/>
            <w:u w:val="single"/>
            <w:lang w:eastAsia="ru-RU"/>
          </w:rPr>
          <w:t>таблице</w:t>
        </w:r>
      </w:hyperlink>
      <w:r w:rsidRPr="004F6638">
        <w:rPr>
          <w:rFonts w:ascii="Times New Roman" w:eastAsiaTheme="minorEastAsia" w:hAnsi="Times New Roman" w:cs="Times New Roman"/>
          <w:sz w:val="24"/>
          <w:szCs w:val="24"/>
          <w:lang w:eastAsia="ru-RU"/>
        </w:rPr>
        <w:t xml:space="preserve"> дробных значений ПДК в числителе - максимальная, а в знаменателе - среднесменная ПДК. При работе с пектиназой грибной и иными отмеченными в данной </w:t>
      </w:r>
      <w:hyperlink r:id="rId47" w:history="1">
        <w:r w:rsidRPr="004F6638">
          <w:rPr>
            <w:rFonts w:ascii="Times New Roman" w:eastAsiaTheme="minorEastAsia" w:hAnsi="Times New Roman" w:cs="Times New Roman"/>
            <w:sz w:val="24"/>
            <w:szCs w:val="24"/>
            <w:u w:val="single"/>
            <w:lang w:eastAsia="ru-RU"/>
          </w:rPr>
          <w:t>таблице</w:t>
        </w:r>
      </w:hyperlink>
      <w:r w:rsidRPr="004F6638">
        <w:rPr>
          <w:rFonts w:ascii="Times New Roman" w:eastAsiaTheme="minorEastAsia" w:hAnsi="Times New Roman" w:cs="Times New Roman"/>
          <w:sz w:val="24"/>
          <w:szCs w:val="24"/>
          <w:lang w:eastAsia="ru-RU"/>
        </w:rPr>
        <w:t xml:space="preserve"> веществами требуется специальная защита кожи и глаз.</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условий труда для противоопухолевых лекарственных средств, гормонов (эстрогенов) относится к 3.4 независимо от концентрации вредного вещества в воздухе рабочей зоны без проведения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условий труда для наркотических анальгетиков в воздухе рабочей зоны относится к 3.2 независимо от концентрации вредного вещества в воздухе рабочей зоны без проведения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31. В случае, если канцерогены имеют </w:t>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то оценку условий труда на рабочем месте проводят исходя из соотношения фактических максимальных концентраций этих вредных химических веществ с </w:t>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При этом класс (подкласс) условий труда устанавливается в соответствии с пунктом 3 таблицы приложения N 1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Перечень веществ, канцерогенных для организма человека, и гигиенические нормативы для канцерогенов приведены в таблицах </w:t>
      </w:r>
      <w:hyperlink r:id="rId49" w:history="1">
        <w:r w:rsidRPr="004F6638">
          <w:rPr>
            <w:rFonts w:ascii="Times New Roman" w:eastAsiaTheme="minorEastAsia" w:hAnsi="Times New Roman" w:cs="Times New Roman"/>
            <w:sz w:val="24"/>
            <w:szCs w:val="24"/>
            <w:u w:val="single"/>
            <w:lang w:eastAsia="ru-RU"/>
          </w:rPr>
          <w:t>2.1</w:t>
        </w:r>
      </w:hyperlink>
      <w:r w:rsidRPr="004F6638">
        <w:rPr>
          <w:rFonts w:ascii="Times New Roman" w:eastAsiaTheme="minorEastAsia" w:hAnsi="Times New Roman" w:cs="Times New Roman"/>
          <w:sz w:val="24"/>
          <w:szCs w:val="24"/>
          <w:lang w:eastAsia="ru-RU"/>
        </w:rPr>
        <w:t xml:space="preserve"> и </w:t>
      </w:r>
      <w:hyperlink r:id="rId50" w:history="1">
        <w:r w:rsidRPr="004F6638">
          <w:rPr>
            <w:rFonts w:ascii="Times New Roman" w:eastAsiaTheme="minorEastAsia" w:hAnsi="Times New Roman" w:cs="Times New Roman"/>
            <w:sz w:val="24"/>
            <w:szCs w:val="24"/>
            <w:u w:val="single"/>
            <w:lang w:eastAsia="ru-RU"/>
          </w:rPr>
          <w:t>2.2</w:t>
        </w:r>
      </w:hyperlink>
      <w:r w:rsidRPr="004F6638">
        <w:rPr>
          <w:rFonts w:ascii="Times New Roman" w:eastAsiaTheme="minorEastAsia" w:hAnsi="Times New Roman" w:cs="Times New Roman"/>
          <w:sz w:val="24"/>
          <w:szCs w:val="24"/>
          <w:lang w:eastAsia="ru-RU"/>
        </w:rPr>
        <w:t xml:space="preserve">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 Отнесение условий труда к классу (подклассу) условий труда при воздействии химического фактора при наличии в воздухе рабочей зоны вредного химического вещества, имеющего несколько специфических эффектов (канцероген, аллерген и другие), осуществляется по соответствующим ПДК. При этом класс (подкласс) условий труда устанавливают по наиболее высокому классу (подклассу) условий труда, установленному в отношении специфического эффекта вредного химического вещества.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случае, если вредное химическое вещество, имеющее особенности действия на организм (с остронаправленным механизмом действия, раздражающего действия, канцерогены, аллергены, вещества, опасные для репродуктивного здоровья человека), имеет не тот вид ПДК (</w:t>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или </w:t>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который указан для них в таблице приложения N 1 к настоящей Методике, то отнесение условий труда к классу (подклассу) условий труда при воздействии химического фактора проводят по имеющейся величине ПДК в соответствующей строке таблицы приложения N 1 к настоящей Методике, соответствующей особенностям действия вредного химического вещества на организм человека.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 В случае, если в воздухе рабочей зоны присутствует вредное химическое вещество, в отношении которого установлены ориентировочные безопасные уровни воздействия, то класс (подкласс) условий труда при наличии такого вредного химического вещества устанавливают по пункту 1 таблицы приложения N 1 к настоящей Методике, если это вредное химическое вещество не обладает свойствами, характеризующими особенности механизма действия вредного химического вещества на организм человека, предусмотренными пунктами 2 - 7 данной таблицы.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34. При одновременном присутствии в воздухе рабочей зоны нескольких вредных химических </w:t>
      </w:r>
      <w:r w:rsidRPr="004F6638">
        <w:rPr>
          <w:rFonts w:ascii="Times New Roman" w:eastAsiaTheme="minorEastAsia" w:hAnsi="Times New Roman" w:cs="Times New Roman"/>
          <w:sz w:val="24"/>
          <w:szCs w:val="24"/>
          <w:lang w:eastAsia="ru-RU"/>
        </w:rPr>
        <w:lastRenderedPageBreak/>
        <w:t>веществ однонаправленного действия с эффектом суммации, перечень которых приведен в настоящем пункте, отнесение условий труда к классу (подклассу) условий труда при воздействии химического фактора осуществляется исходя из расчета суммы отношений фактических концентраций каждого из вредных химических веществ к соответствующим ПДК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933575" cy="381000"/>
            <wp:effectExtent l="0" t="0" r="9525"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(1)</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80975" cy="171450"/>
            <wp:effectExtent l="0" t="0" r="9525"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80975" cy="171450"/>
            <wp:effectExtent l="0" t="0" r="9525"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фактические концентрации вредных химических веществ в воздухе рабочей зоны (максимальные и (или) среднесменные);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361950" cy="19050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371475" cy="190500"/>
            <wp:effectExtent l="0" t="0" r="9525"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381000" cy="19050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предельно допустимые концентрации этих вредных химических веществ (максимальные и (или) среднесменные соответственно).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Если полученные величины больше единицы, то условия труда на рабочем месте по уровню воздействия химического фактора относятся к вредным или опасным условиям труда. При этом класс (подкласс) условий труда устанавливается в зависимости от кратности превышения фактической концентрации вредных химических веществ в воздухе рабочей зоны над ПДК данных веществ по соответствующему пункту таблицы приложения N 1 к настоящей Методике, который соответствует особенности механизма действия вредного химического вещества на организм человека, составляющих комбинацию, или по пункту 1 таблицы приложения N 1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Перечни комбинаций вредных химических вещества однонаправленного действия с эффектом суммации приведены в таблицах </w:t>
      </w:r>
      <w:hyperlink r:id="rId59" w:history="1">
        <w:r w:rsidRPr="004F6638">
          <w:rPr>
            <w:rFonts w:ascii="Times New Roman" w:eastAsiaTheme="minorEastAsia" w:hAnsi="Times New Roman" w:cs="Times New Roman"/>
            <w:sz w:val="24"/>
            <w:szCs w:val="24"/>
            <w:u w:val="single"/>
            <w:lang w:eastAsia="ru-RU"/>
          </w:rPr>
          <w:t>1.3</w:t>
        </w:r>
      </w:hyperlink>
      <w:r w:rsidRPr="004F6638">
        <w:rPr>
          <w:rFonts w:ascii="Times New Roman" w:eastAsiaTheme="minorEastAsia" w:hAnsi="Times New Roman" w:cs="Times New Roman"/>
          <w:sz w:val="24"/>
          <w:szCs w:val="24"/>
          <w:lang w:eastAsia="ru-RU"/>
        </w:rPr>
        <w:t xml:space="preserve"> и </w:t>
      </w:r>
      <w:hyperlink r:id="rId60" w:history="1">
        <w:r w:rsidRPr="004F6638">
          <w:rPr>
            <w:rFonts w:ascii="Times New Roman" w:eastAsiaTheme="minorEastAsia" w:hAnsi="Times New Roman" w:cs="Times New Roman"/>
            <w:sz w:val="24"/>
            <w:szCs w:val="24"/>
            <w:u w:val="single"/>
            <w:lang w:eastAsia="ru-RU"/>
          </w:rPr>
          <w:t>1.4</w:t>
        </w:r>
      </w:hyperlink>
      <w:r w:rsidRPr="004F6638">
        <w:rPr>
          <w:rFonts w:ascii="Times New Roman" w:eastAsiaTheme="minorEastAsia" w:hAnsi="Times New Roman" w:cs="Times New Roman"/>
          <w:sz w:val="24"/>
          <w:szCs w:val="24"/>
          <w:lang w:eastAsia="ru-RU"/>
        </w:rPr>
        <w:t xml:space="preserve">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35. Отнесение условий труда к классу (подклассу) условий труда при воздействии биологического фактора осуществляется в соответствии с приложением N 2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36. Отнесение условий труда к классу (подклассу) условий труда при воздействии биологического фактора (работы с микроорганизмами-продуцентами, живыми клетками и спорами, содержащимися в бактериальных препаратах) осуществляется в зависимости от превышения значений фактической концентрации микроорганизмов-продуцентов, бактериальных препаратов и их компонентов в воздухе рабочей зоны над значениями предельно допустимой концентрации данных веществ, установленными соответствующими гигиеническими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нормативами &lt;15&gt;.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&lt;15&gt; </w:t>
      </w:r>
      <w:hyperlink r:id="rId61" w:history="1">
        <w:r w:rsidRPr="004F6638">
          <w:rPr>
            <w:rFonts w:ascii="Times New Roman" w:eastAsiaTheme="minorEastAsia" w:hAnsi="Times New Roman" w:cs="Times New Roman"/>
            <w:sz w:val="24"/>
            <w:szCs w:val="24"/>
            <w:u w:val="single"/>
            <w:lang w:eastAsia="ru-RU"/>
          </w:rPr>
          <w:t>Таблица 2.4</w:t>
        </w:r>
      </w:hyperlink>
      <w:r w:rsidRPr="004F6638">
        <w:rPr>
          <w:rFonts w:ascii="Times New Roman" w:eastAsiaTheme="minorEastAsia" w:hAnsi="Times New Roman" w:cs="Times New Roman"/>
          <w:sz w:val="24"/>
          <w:szCs w:val="24"/>
          <w:lang w:eastAsia="ru-RU"/>
        </w:rPr>
        <w:t xml:space="preserve"> "Предельно допустимые концентрации (ПДК) микроорганизмов-продуцентов и компонентов бактериальных препаратов в воздухе рабочей зоны" СанПиН 1.2.3685-21.</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37. Отнесение условий труда к классу (подклассу) условий труда при воздействии </w:t>
      </w:r>
      <w:r w:rsidRPr="004F6638">
        <w:rPr>
          <w:rFonts w:ascii="Times New Roman" w:eastAsiaTheme="minorEastAsia" w:hAnsi="Times New Roman" w:cs="Times New Roman"/>
          <w:sz w:val="24"/>
          <w:szCs w:val="24"/>
          <w:lang w:eastAsia="ru-RU"/>
        </w:rPr>
        <w:lastRenderedPageBreak/>
        <w:t>биологического фактора (работы с патогенными микроорганизмами) осуществляется независимо от концентрации патогенных микроорганизмов и без проведения исследований (испытаний) и измерений в отношении: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рабочих мест организаций, осуществляющих деятельность в области использования возбудителей инфекционных заболеваний человека и животных и (или) в замкнутых системах генно-инженерно-модифицированных организмов III и IV степеней потенциальной опасности при наличии соответствующих разрешительных документов (лицензии) на право осуществления такой деятельности;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рабочих мест организаций, осуществляющих деятельность в области использования в замкнутых системах генно-инженерно-модифицированных организмов II степени потенциальной опасности;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рабочих мест медицинских и иных работников, непосредственно осуществляющих медицинскую деятельность;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рабочих мест работников, непосредственно осуществляющих ветеринарную деятельность, государственный ветеринарный надзор и (или) проводящих ветеринарно-санитарную экспертизу.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при воздействии биологического фактора (работы с патогенными микроорганизмами) на рабочих местах работников, непосредственно осуществляющих работы по обслуживанию и ремонту относящихся к жилищно-коммунальному хозяйству канализационных сооружений и сетей, в том числе производственного оборудования на этих объектах, осуществляется без проведения исследований (испытаний) и измерений на основе результатов проведения производственного контроля условий труда по биологическому фактору на рассматриваемых рабочих местах.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38. Отнесение условий труда к классу (подклассу) условий труда при воздействии биологического фактора (работы с патогенными микроорганизмами) осуществляется согласно приложению N 2 к настоящей Методике в зависимости от группы патогенности микроорганизмов (возбудителей инфекционных заболеваний), независимо от концентрации патогенных микроорганизмов без проведения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при воздействии биологического фактора (работы с патогенными микроорганизмами) на рабочих местах работников, непосредственно осуществляющих работы по обслуживанию и ремонту относящихся к жилищно-коммунальному хозяйству канализационных сооружений и сетей, в том числе производственного оборудования на этих объектах, осуществляется согласно приложению N 2 к настоящей Методике в зависимости от группы патогенности микроорганизмов (возбудителей инфекционных заболеваний), определенной по действующим результатам проведения производственного контроля условий труда по биологическому фактору на рассматриваемых рабочих местах.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Группа патогенности микроорганизмов определяется в соответствии с </w:t>
      </w:r>
      <w:hyperlink r:id="rId62" w:history="1">
        <w:r w:rsidRPr="004F6638">
          <w:rPr>
            <w:rFonts w:ascii="Times New Roman" w:eastAsiaTheme="minorEastAsia" w:hAnsi="Times New Roman" w:cs="Times New Roman"/>
            <w:sz w:val="24"/>
            <w:szCs w:val="24"/>
            <w:u w:val="single"/>
            <w:lang w:eastAsia="ru-RU"/>
          </w:rPr>
          <w:t>приложением N 1</w:t>
        </w:r>
      </w:hyperlink>
      <w:r w:rsidRPr="004F6638">
        <w:rPr>
          <w:rFonts w:ascii="Times New Roman" w:eastAsiaTheme="minorEastAsia" w:hAnsi="Times New Roman" w:cs="Times New Roman"/>
          <w:sz w:val="24"/>
          <w:szCs w:val="24"/>
          <w:lang w:eastAsia="ru-RU"/>
        </w:rPr>
        <w:t xml:space="preserve"> к СанПиН 3.3686-21 "Патогенные биологические агенты по группам патогенности", утвержденным постановлением Главного государственного санитарного врача Российской Федерации </w:t>
      </w:r>
      <w:hyperlink r:id="rId63" w:history="1">
        <w:r w:rsidRPr="004F6638">
          <w:rPr>
            <w:rFonts w:ascii="Times New Roman" w:eastAsiaTheme="minorEastAsia" w:hAnsi="Times New Roman" w:cs="Times New Roman"/>
            <w:sz w:val="24"/>
            <w:szCs w:val="24"/>
            <w:u w:val="single"/>
            <w:lang w:eastAsia="ru-RU"/>
          </w:rPr>
          <w:t>от 28 января 2021 г. N 4</w:t>
        </w:r>
      </w:hyperlink>
      <w:r w:rsidRPr="004F6638">
        <w:rPr>
          <w:rFonts w:ascii="Times New Roman" w:eastAsiaTheme="minorEastAsia" w:hAnsi="Times New Roman" w:cs="Times New Roman"/>
          <w:sz w:val="24"/>
          <w:szCs w:val="24"/>
          <w:lang w:eastAsia="ru-RU"/>
        </w:rPr>
        <w:t xml:space="preserve"> "Об утверждении санитарных правил и норм СанПиН 3.3686-21 "Санитарно-эпидемиологические требования по профилактике инфекционных болезней" &lt;16&gt;. Для проведения специальной оценки условий труда иные положения указанных санитарных </w:t>
      </w:r>
      <w:hyperlink r:id="rId64" w:history="1">
        <w:r w:rsidRPr="004F6638">
          <w:rPr>
            <w:rFonts w:ascii="Times New Roman" w:eastAsiaTheme="minorEastAsia" w:hAnsi="Times New Roman" w:cs="Times New Roman"/>
            <w:sz w:val="24"/>
            <w:szCs w:val="24"/>
            <w:u w:val="single"/>
            <w:lang w:eastAsia="ru-RU"/>
          </w:rPr>
          <w:t>правил и нормативов</w:t>
        </w:r>
      </w:hyperlink>
      <w:r w:rsidRPr="004F6638">
        <w:rPr>
          <w:rFonts w:ascii="Times New Roman" w:eastAsiaTheme="minorEastAsia" w:hAnsi="Times New Roman" w:cs="Times New Roman"/>
          <w:sz w:val="24"/>
          <w:szCs w:val="24"/>
          <w:lang w:eastAsia="ru-RU"/>
        </w:rPr>
        <w:t xml:space="preserve"> не применяются.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&lt;16&gt; Зарегистрировано Министерством юстиции Российской Федерации 15 февраля 2021 г., регистрационный N 62500. Срок действия до 1 сентября 2027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39. При отнесении условий труда к классу (подклассу) условий труда при воздействии биологического фактора (работы с патогенными микроорганизмами) с учетом требований пункта 38 настоящей Методики учитываются все патогенные микроорганизмы (возбудители инфекционных заболеваний), которые воздействуют на работника в ходе осуществления медицинской деятельности, исходя из наличия установленного в соответствии с пунктом 40 настоящей Методики потенциального контакта с инфицированными пациентами, или с инфицированным биологическим материалом, включая кровь, выделения (внешние и внутренние) организма человека, с учетом механизмов и путей передачи патогенных биологических агентов (патогенных микроорганизмов).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к группе патогенности возбудителей инфекционных болезней (патогенных микроорганизмов) осуществляется экспертами организаций, проводящими специальную оценку условий труда, путем сопоставления и установления совпадений по наименованию болезней, информация о которых содержится в исходных данных.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качестве исходных материалов при проведении специальной оценки условий труда на рабочих местах медицинских и иных работников, непосредственно осуществляющих медицинскую деятельность, наряду с документами, перечисленными в пункте 7 настоящей Методики, должны использоваться данные статистической отчетности об имеющихся либо имевшихся инфекционных заболеваниях у пациентов, которые определяют наличие воздействия биологического фактора в условиях труда на рабочих местах.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 Для подтверждения наличия на рабочих местах медицинских и иных работников, непосредственно осуществляющих медицинскую деятельность, контакта с патогенными микроорганизмами - возбудителями инфекционных заболеваний (работы в условиях воздействия биологического фактора) и дальнейшего отнесения условий труда на рабочих местах к классу (подклассу) условий труда по биологическому фактору используются данные имеющейся в медицинской организации документации, в которой отражены основные и сопутствующие заболевания пациентов (больных), а также данные из форм федерального статистического наблюдения. Сроки давности сведений из указанных документов не должны превышать периода пяти лет до даты начала проведения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Сведения, полученные в ходе изучения указанной медицинской документации и (или) из обязательных для предоставления медицинской организацией форм федерального статистического наблюдения, обеспечивают установление наименований болезней и групп патогенности возбудителей этих инфекционных заболеваний и являются основными для осуществления отнесения условий труда медицинских и иных работников к классу (подклассу) условий труда при воздействии биологического фактора (работы с патогенными микроорганизмами) в соответствии с пунктом 39 настоящей Методики.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41. Отнесение условий труда к классу (подклассу) условий труда при воздействии аэрозолей преимущественно фиброгенного действия (далее - АПФД) осуществляется в зависимости от соотношения фактической среднесменной концентрации АПФД в воздухе рабочей зоны и ПДКсс АПФД.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42. Отнесение условий труда к классу (подклассу) условий труда при воздействии АПФД </w:t>
      </w:r>
      <w:r w:rsidRPr="004F6638">
        <w:rPr>
          <w:rFonts w:ascii="Times New Roman" w:eastAsiaTheme="minorEastAsia" w:hAnsi="Times New Roman" w:cs="Times New Roman"/>
          <w:sz w:val="24"/>
          <w:szCs w:val="24"/>
          <w:lang w:eastAsia="ru-RU"/>
        </w:rPr>
        <w:lastRenderedPageBreak/>
        <w:t xml:space="preserve">осуществляется в соответствии с приложением N 3 к настоящей Методике. ПДК для аэрозолей преимущественно фиброгенного действия устанавливаются в соответствии с таблицами </w:t>
      </w:r>
      <w:hyperlink r:id="rId65" w:history="1">
        <w:r w:rsidRPr="004F6638">
          <w:rPr>
            <w:rFonts w:ascii="Times New Roman" w:eastAsiaTheme="minorEastAsia" w:hAnsi="Times New Roman" w:cs="Times New Roman"/>
            <w:sz w:val="24"/>
            <w:szCs w:val="24"/>
            <w:u w:val="single"/>
            <w:lang w:eastAsia="ru-RU"/>
          </w:rPr>
          <w:t>2.1</w:t>
        </w:r>
      </w:hyperlink>
      <w:r w:rsidRPr="004F6638">
        <w:rPr>
          <w:rFonts w:ascii="Times New Roman" w:eastAsiaTheme="minorEastAsia" w:hAnsi="Times New Roman" w:cs="Times New Roman"/>
          <w:sz w:val="24"/>
          <w:szCs w:val="24"/>
          <w:lang w:eastAsia="ru-RU"/>
        </w:rPr>
        <w:t xml:space="preserve"> и </w:t>
      </w:r>
      <w:hyperlink r:id="rId66" w:history="1">
        <w:r w:rsidRPr="004F6638">
          <w:rPr>
            <w:rFonts w:ascii="Times New Roman" w:eastAsiaTheme="minorEastAsia" w:hAnsi="Times New Roman" w:cs="Times New Roman"/>
            <w:sz w:val="24"/>
            <w:szCs w:val="24"/>
            <w:u w:val="single"/>
            <w:lang w:eastAsia="ru-RU"/>
          </w:rPr>
          <w:t>2.2</w:t>
        </w:r>
      </w:hyperlink>
      <w:r w:rsidRPr="004F6638">
        <w:rPr>
          <w:rFonts w:ascii="Times New Roman" w:eastAsiaTheme="minorEastAsia" w:hAnsi="Times New Roman" w:cs="Times New Roman"/>
          <w:sz w:val="24"/>
          <w:szCs w:val="24"/>
          <w:lang w:eastAsia="ru-RU"/>
        </w:rPr>
        <w:t xml:space="preserve"> СанПиН 1.2.3685-21. При этом к высоко- и умеренно фиброгенным аэрозолям преимущественно фиброгенного действия относятся аэрозоли преимущественно фиброгенного действия с ПДК </w:t>
      </w: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2 мг/м3, а к слабофиброгенным аэрозолям преимущественно фиброгенного действия относятся аэрозоли преимущественно фиброгенного действия с ПДК &gt; 2 мг/м3.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43. При одновременном наличии в воздухе рабочей зоны двух и более видов АПФД класс (подкласс) условий труда устанавливается по АПФД с наименьшей величиной ПДК.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44. Отнесение условий труда к классу (подклассу) условий труда при воздействии АПФД на нестационарных рабочих местах и (или) при непостоянном в течение рабочей недели непосредственном контакте работников с АПФД производится путем расчета ожидаемой пылевой нагрузки за год </w:t>
      </w:r>
      <w:r w:rsidRPr="004F6638">
        <w:rPr>
          <w:rFonts w:ascii="Times New Roman" w:eastAsiaTheme="minorEastAsia" w:hAnsi="Times New Roman" w:cs="Times New Roman"/>
          <w:noProof/>
          <w:sz w:val="24"/>
          <w:szCs w:val="24"/>
          <w:lang w:eastAsia="ru-RU"/>
        </w:rPr>
        <w:drawing>
          <wp:inline distT="0" distB="0" distL="0" distR="0">
            <wp:extent cx="457200" cy="19050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исходя из ожидаемого фактического количества смен, отработанных в условиях воздействия АПФД,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333500" cy="200025"/>
            <wp:effectExtent l="0" t="0" r="0" b="9525"/>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3350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(2)</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28600" cy="17145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фактическая среднесменная концентрация пыли в зоне дыхания работника, мг/м3;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 количество рабочих дней (смен), отработанных в календарном году в условиях воздействия АПФД;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Q - объем легочной вентиляции за смену, м3, определяемый в зависимости от категории работ.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Категории работ разграничиваются на основе интенсивности энергозатрат организма: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 к категории Iа относятся работы с интенсивностью энергозатрат до 120 ккал/ч (до 139 Вт), производимые преимущественно в положении сидя (ряд профессий на предприятиях точного приборо- и машиностроения, на часовом, швейном производствах, в сфере управления);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 к категории 16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 и сопровождающиеся физическим напряжением;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к категории IIа относятся работы с интенсивностью энергозатрат 151 - 200 ккал/ч (175 - 232 Вт), связанные с постоянной ходьбой, перемещением мелких (до 1 кг) изделий или предметов в положении стоя и (или) сидя и требующие определенного физического напряжения;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 к категории IIб относятся работы с интенсивностью энергозатрат 201 - 250 ккал/ч (233 - 290 Вт), связанные с ходьбой, перемещением и переноской изделий или предметов до 10 кг в положении стоя и (или) сидя и сопровождающиеся умеренным физическим напряжением;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 и требующие больших физических усилий.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работ категории Iа - Iб объем легочной вентиляции за смену Q = 4 м3; для работ категории IIа - IIб Q = 7 м3; для работ категории III Q = 10 м3.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Полученная величина </w:t>
      </w:r>
      <w:r w:rsidRPr="004F6638">
        <w:rPr>
          <w:rFonts w:ascii="Times New Roman" w:eastAsiaTheme="minorEastAsia" w:hAnsi="Times New Roman" w:cs="Times New Roman"/>
          <w:noProof/>
          <w:sz w:val="24"/>
          <w:szCs w:val="24"/>
          <w:lang w:eastAsia="ru-RU"/>
        </w:rPr>
        <w:drawing>
          <wp:inline distT="0" distB="0" distL="0" distR="0">
            <wp:extent cx="457200" cy="190500"/>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сравнивается с величиной контрольной пылевой нагрузки за год </w:t>
      </w:r>
      <w:r w:rsidRPr="004F6638">
        <w:rPr>
          <w:rFonts w:ascii="Times New Roman" w:eastAsiaTheme="minorEastAsia" w:hAnsi="Times New Roman" w:cs="Times New Roman"/>
          <w:noProof/>
          <w:sz w:val="24"/>
          <w:szCs w:val="24"/>
          <w:lang w:eastAsia="ru-RU"/>
        </w:rPr>
        <w:drawing>
          <wp:inline distT="0" distB="0" distL="0" distR="0">
            <wp:extent cx="542925" cy="200025"/>
            <wp:effectExtent l="0" t="0" r="9525" b="9525"/>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рассчитываемой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762125" cy="200025"/>
            <wp:effectExtent l="0" t="0" r="9525" b="9525"/>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(3)</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среднесменная концентрация пыли в зоне дыхания работника, мг/м3;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общее количество рабочих дней (смен), отработанных в календарном году в условиях воздействия АПФД на уровне среднесменной ПДК;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Q - объем легочной вентиляции за смену, м3, определяемый в зависимости от категории работ.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Отнесение условий труда к соответствующему классу (подклассу) при воздействии АПФД определяют по соотношению фактической пылевой нагрузки </w:t>
      </w:r>
      <w:r w:rsidRPr="004F6638">
        <w:rPr>
          <w:rFonts w:ascii="Times New Roman" w:eastAsiaTheme="minorEastAsia" w:hAnsi="Times New Roman" w:cs="Times New Roman"/>
          <w:noProof/>
          <w:sz w:val="24"/>
          <w:szCs w:val="24"/>
          <w:lang w:eastAsia="ru-RU"/>
        </w:rPr>
        <w:drawing>
          <wp:inline distT="0" distB="0" distL="0" distR="0">
            <wp:extent cx="457200" cy="19050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к контрольному уровню (</w:t>
      </w:r>
      <w:r w:rsidRPr="004F6638">
        <w:rPr>
          <w:rFonts w:ascii="Times New Roman" w:eastAsiaTheme="minorEastAsia" w:hAnsi="Times New Roman" w:cs="Times New Roman"/>
          <w:noProof/>
          <w:sz w:val="24"/>
          <w:szCs w:val="24"/>
          <w:lang w:eastAsia="ru-RU"/>
        </w:rPr>
        <w:drawing>
          <wp:inline distT="0" distB="0" distL="0" distR="0">
            <wp:extent cx="542925" cy="200025"/>
            <wp:effectExtent l="0" t="0" r="9525"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Если кратность превышения фактической пылевой нагрузки </w:t>
      </w:r>
      <w:r w:rsidRPr="004F6638">
        <w:rPr>
          <w:rFonts w:ascii="Times New Roman" w:eastAsiaTheme="minorEastAsia" w:hAnsi="Times New Roman" w:cs="Times New Roman"/>
          <w:noProof/>
          <w:sz w:val="24"/>
          <w:szCs w:val="24"/>
          <w:lang w:eastAsia="ru-RU"/>
        </w:rPr>
        <w:drawing>
          <wp:inline distT="0" distB="0" distL="0" distR="0">
            <wp:extent cx="457200" cy="19050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над контрольным уровнем (</w:t>
      </w:r>
      <w:r w:rsidRPr="004F6638">
        <w:rPr>
          <w:rFonts w:ascii="Times New Roman" w:eastAsiaTheme="minorEastAsia" w:hAnsi="Times New Roman" w:cs="Times New Roman"/>
          <w:noProof/>
          <w:sz w:val="24"/>
          <w:szCs w:val="24"/>
          <w:lang w:eastAsia="ru-RU"/>
        </w:rPr>
        <w:drawing>
          <wp:inline distT="0" distB="0" distL="0" distR="0">
            <wp:extent cx="542925" cy="200025"/>
            <wp:effectExtent l="0" t="0" r="9525" b="9525"/>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меньше или равна единице, условия труда на рабочем месте относят к допустимому классу условий труда. Если кратность превышения ожидаемой пылевой нагрузки над контрольной пылевой нагрузкой превышает единицу, условия труда согласно приложению N 3 к настоящей Методике относятся к вредным и (или) опасным в зависимости от размера величины кратности превышения.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45. К виброакустическим факторам относятся: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шум;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инфразвук;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ультразвук воздушный;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вибрация общая и локальная.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46. Отнесение условий труда к классу (подклассу) условий труда при воздействии виброакустических факторов осуществляется в зависимости от превышения фактических уровней данных факторов их ПДУ, установленных нормативами (гигиеническими нормативами) условий труда &lt;17&gt;.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&lt;17&gt; </w:t>
      </w:r>
      <w:hyperlink r:id="rId80" w:history="1">
        <w:r w:rsidRPr="004F6638">
          <w:rPr>
            <w:rFonts w:ascii="Times New Roman" w:eastAsiaTheme="minorEastAsia" w:hAnsi="Times New Roman" w:cs="Times New Roman"/>
            <w:sz w:val="24"/>
            <w:szCs w:val="24"/>
            <w:u w:val="single"/>
            <w:lang w:eastAsia="ru-RU"/>
          </w:rPr>
          <w:t>Пункт 35</w:t>
        </w:r>
      </w:hyperlink>
      <w:r w:rsidRPr="004F6638">
        <w:rPr>
          <w:rFonts w:ascii="Times New Roman" w:eastAsiaTheme="minorEastAsia" w:hAnsi="Times New Roman" w:cs="Times New Roman"/>
          <w:sz w:val="24"/>
          <w:szCs w:val="24"/>
          <w:lang w:eastAsia="ru-RU"/>
        </w:rPr>
        <w:t xml:space="preserve"> и таблицы </w:t>
      </w:r>
      <w:hyperlink r:id="rId81" w:history="1">
        <w:r w:rsidRPr="004F6638">
          <w:rPr>
            <w:rFonts w:ascii="Times New Roman" w:eastAsiaTheme="minorEastAsia" w:hAnsi="Times New Roman" w:cs="Times New Roman"/>
            <w:sz w:val="24"/>
            <w:szCs w:val="24"/>
            <w:u w:val="single"/>
            <w:lang w:eastAsia="ru-RU"/>
          </w:rPr>
          <w:t>5.4</w:t>
        </w:r>
      </w:hyperlink>
      <w:r w:rsidRPr="004F6638">
        <w:rPr>
          <w:rFonts w:ascii="Times New Roman" w:eastAsiaTheme="minorEastAsia" w:hAnsi="Times New Roman" w:cs="Times New Roman"/>
          <w:sz w:val="24"/>
          <w:szCs w:val="24"/>
          <w:lang w:eastAsia="ru-RU"/>
        </w:rPr>
        <w:t xml:space="preserve"> - </w:t>
      </w:r>
      <w:hyperlink r:id="rId82" w:history="1">
        <w:r w:rsidRPr="004F6638">
          <w:rPr>
            <w:rFonts w:ascii="Times New Roman" w:eastAsiaTheme="minorEastAsia" w:hAnsi="Times New Roman" w:cs="Times New Roman"/>
            <w:sz w:val="24"/>
            <w:szCs w:val="24"/>
            <w:u w:val="single"/>
            <w:lang w:eastAsia="ru-RU"/>
          </w:rPr>
          <w:t>5.6</w:t>
        </w:r>
      </w:hyperlink>
      <w:r w:rsidRPr="004F6638">
        <w:rPr>
          <w:rFonts w:ascii="Times New Roman" w:eastAsiaTheme="minorEastAsia" w:hAnsi="Times New Roman" w:cs="Times New Roman"/>
          <w:sz w:val="24"/>
          <w:szCs w:val="24"/>
          <w:lang w:eastAsia="ru-RU"/>
        </w:rPr>
        <w:t xml:space="preserve"> СанПиН 1.2.3685-21.</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47. Отнесение условий труда к классу (подклассу) условий труда при воздействии виброакустических факторов осуществляется в соответствии с таблицей 1 приложения N 4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48. При воздействии на работника постоянного шума отнесение условий труда к классу (подклассу) условий труда при воздействии виброакустических факторов осуществляется по результатам измерения уровней звукового давления в октавных полосах со среднегеометрическими частотами 31,5, 63, 125, 250, 500, 1000, 2000, 4000, 8000 Гц с </w:t>
      </w:r>
      <w:r w:rsidRPr="004F6638">
        <w:rPr>
          <w:rFonts w:ascii="Times New Roman" w:eastAsiaTheme="minorEastAsia" w:hAnsi="Times New Roman" w:cs="Times New Roman"/>
          <w:sz w:val="24"/>
          <w:szCs w:val="24"/>
          <w:lang w:eastAsia="ru-RU"/>
        </w:rPr>
        <w:lastRenderedPageBreak/>
        <w:t>последующим сравнением с установленным в таблице 2 приложения N 4 к настоящей Методике допустимым уровнем, соответствующим среднегеометрической частоте, либо с допустимым уровнем звука (дБА) в соответствии с данной таблицей.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49. При воздействии в течение рабочего дня (смены) на работника шумов с разными временными (постоянный шум, непостоянный шум - колеблющийся, прерывистый, импульсный) и спектральными (тональный шум) характеристиками в различных сочетаниях измеряют или рассчитывают эквивалентный уровень звука. Для получения сопоставимых данных измеренные или рассчитанные эквивалентные уровни звука импульсного и тонального шумов увеличиваются на 5 дБА, полученный результат допускается сравнивать с ПДУ для шума без внесения в него понижающей поправки.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 При воздействии на работника постоянного инфразвука отнесение условий труда к классу (подклассу) условий труда при воздействии виброакустических факторов осуществляется в соответствии с таблицей 5 приложения N 4 к настоящей Методике по результатам измерения уровня звукового давления в октавных полосах со среднегеометрическими частотами 2, 4, 8 и 16 Гц, в дБ и его сравнения с соответствующим ПДУ.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51. При воздействии на работника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эквивалентного (по энергии) общего (линейного) уровня звукового давления в дБЛиНэкв и его сравнения с соответствующим ПДУ.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52. При воздействии на работника в течение рабочего дня (смены) как постоянного, так и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(с учетом продолжительности их действия) эквивалентного общего уровня звукового давления (дБЛиНэкв) и его сравнения с соответствующим ПДУ.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53. При воздействии на работника ультразвука воздушного (в 1/3 октавных полосах частот от 12,5 до 100,0 кГц) отнесение условий труда к классу (подклассу) условий труда при воздействии виброакустических факторов осуществляется по результатам измерения уровня звукового давления на рабочей частоте источника ультразвуковых колебаний и его сравнения с соответствующим ПДУ, указанным в таблице 6 приложения N 4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54. При воздействии на работника постоянной вибрации (общей и (или)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частоте нормируемого параметра.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измеряется или рассчитывается эквивалентный корректированный уровень виброускорения, который сравнивается с соответствующим ПДУ в соответствии с таблицами 3 и 4 приложения N 4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55. При воздействии на работника непостоянной вибрации (общей и (или)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эквивалентному (по энергии) уровню нормируемого параметра.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измеряется или рассчитывается эквивалентный корректированный уровень виброускорения, который сравнивается с соответствующим ПДУ.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56. При воздействии на работника в течение рабочего дня (смены) как постоянной, так и непостоянной вибрации (общей и (или) локальной) отнесение условий труда к классу </w:t>
      </w:r>
      <w:r w:rsidRPr="004F6638">
        <w:rPr>
          <w:rFonts w:ascii="Times New Roman" w:eastAsiaTheme="minorEastAsia" w:hAnsi="Times New Roman" w:cs="Times New Roman"/>
          <w:sz w:val="24"/>
          <w:szCs w:val="24"/>
          <w:lang w:eastAsia="ru-RU"/>
        </w:rPr>
        <w:lastRenderedPageBreak/>
        <w:t>(подклассу) условий труда при воздействии виброакустических факторов осуществляется путем измерения или расчета (с учетом продолжительности их действия) эквивалентного корректированного уровня виброускорения и его сравнения с соответствующим ПДУ.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57. При воздействии локальной вибрации в сочетании с воздействием местного охлаждения рук при работе в условиях охлаждающего микроклимата, отнесенного по степени вредности к подклассу 3.1 вредных условий труда и выше, класс (подкласс) условий труда по данному фактору повышается на одну степень.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58. Отнесение условий труда к классу (подклассу) условий труда при воздействии параметров микроклимата осуществляется с учетом используемого на рабочем месте производственного оборудования, являющегося искусственным источником тепла и (или) холода, и на основе измерений температуры воздуха, влажности воздуха, скорости движения воздуха и (или) теплового излучения (облучения) в производственных помещениях (рабочих зонах) на всех местах пребывания работника в течение рабочего дня (смены) с учетом характеристики микроклимата (нагревающий, охлаждающий) путем сопоставления фактических значений параметров микроклимата со значениями параметров микроклимата, предусмотренных приложениями NN 5 - 7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59. Отнесение условий труда к классу (подклассу) условий труда при воздействии параметров микроклимата осуществляется в следующей последовательности: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 первом этапе класс (подкласс) условий труда определяется по температуре воздуха;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 втором этапе класс (подкласс) условий труда корректируется в зависимости от влажности воздуха, скорости движения воздуха и (или) теплового излучения (облучения) - экспозиционной дозы теплового облучения (ДЭО), представляющей собой расчетную величину, вычисляемую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114425" cy="180975"/>
            <wp:effectExtent l="0" t="0" r="9525" b="9525"/>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1144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(4)</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где: </w:t>
      </w:r>
      <w:r w:rsidRPr="004F6638">
        <w:rPr>
          <w:rFonts w:ascii="Times New Roman" w:eastAsiaTheme="minorEastAsia" w:hAnsi="Times New Roman" w:cs="Times New Roman"/>
          <w:noProof/>
          <w:sz w:val="24"/>
          <w:szCs w:val="24"/>
          <w:lang w:eastAsia="ru-RU"/>
        </w:rPr>
        <w:drawing>
          <wp:inline distT="0" distB="0" distL="0" distR="0">
            <wp:extent cx="190500" cy="171450"/>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интенсивность теплового облучения, Вт/м2; S - облучаемая площадь поверхности тела, м2; </w:t>
      </w:r>
      <w:r w:rsidRPr="004F6638">
        <w:rPr>
          <w:rFonts w:ascii="Times New Roman" w:eastAsiaTheme="minorEastAsia" w:hAnsi="Times New Roman" w:cs="Times New Roman"/>
          <w:noProof/>
          <w:sz w:val="24"/>
          <w:szCs w:val="24"/>
          <w:lang w:eastAsia="ru-RU"/>
        </w:rPr>
        <w:drawing>
          <wp:inline distT="0" distB="0" distL="0" distR="0">
            <wp:extent cx="114300" cy="123825"/>
            <wp:effectExtent l="0" t="0" r="0"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продолжительность облучения за рабочую смену, ч.</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определении облучаемой поверхности тела необходимо производить ее расчет с учетом доли в % каждого участка тела человека: голова и шея - 9, грудь и живот - 16, спина - 18, руки - 18, ноги - 39. Общая площадь тела человека в среднем составляет 1,8 м2.</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измерений параметров микроклимата на каждом рабочем месте устанавливается в зависимости от особенностей технологического процесса. В случае наличия у работника одного рабочего места параметры микроклимата измеряются однократно.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60. При воздействии нагревающего микроклимата (температура воздуха в производственном помещении (рабочей зоне) выше границ оптимальных величин, предусмотренных в приложении N 6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его движения, влажности воздуха, тепловому излучению путем соотнесения фактических уровней показателей параметров микроклимата с диапазоном величин, предусмотренных приложением N 5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приложении N 5 к настоящей Методике приведены требования применительно к работнику, </w:t>
      </w:r>
      <w:r w:rsidRPr="004F6638">
        <w:rPr>
          <w:rFonts w:ascii="Times New Roman" w:eastAsiaTheme="minorEastAsia" w:hAnsi="Times New Roman" w:cs="Times New Roman"/>
          <w:sz w:val="24"/>
          <w:szCs w:val="24"/>
          <w:lang w:eastAsia="ru-RU"/>
        </w:rPr>
        <w:lastRenderedPageBreak/>
        <w:t xml:space="preserve">одетому в комплект спецодежды с теплоизоляцией 0,8 - 1,0 кло, предназначенной для защиты от общих загрязнений, обладающей воздухо- и паропроницаемостью, соответственно,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50 дм3/м2с и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40 г/м2ч. Категории работ разграничиваются на основе интенсивности энергозатрат организма в ккал/ч (Вт) в соответствии с пунктом 44 настоящей Методики.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устанавливается по параметру микроклимата, имеющему наиболее высокую степень вредности.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61. В случае, если температура воздуха или влажность воздуха, или скорость движения воздуха в производственном помещении (рабочей зоне) с нагревающим микроклиматом не соответствует допустимым величинам, отнесение условий труда к классу (подклассу) условий труда при воздействии параметров микроклимата осуществляется по индексу тепловой нагрузки среды (далее - ТНС-индекс) путем соотнесения фактических уровней ТНС-индекса с диапазоном величин, предусмотренных приложением N 6 к настоящей Методике. Значения ТНС-индекса в указанном приложении приведены применительно к работнику, одетому в комплект легкой летней одежды с теплоизоляцией 0,5 - 0,8 Кло (1 Кло = 0,155 °C - м2/Вт). Категории работ разграничиваются на основе интенсивности энергозатрат организма в ккал/ч (Вт) в соответствии с пунктом 44 настоящей Методики.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62. При воздействии теплового излучения отнесение условий труда к классу (подклассу) условий труда при воздействии параметров микроклимата осуществляется по показателям интенсивности теплового облучения и (или) экспозиционной дозе теплового облучения.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63. При воздействии охлаждающего микроклимата (микроклимат является охлаждающим, если температура воздуха в производственном помещении (рабочей зоне) ниже границ оптимальных величин, предусмотренных приложением N 7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движения воздуха, влажности воздуха, тепловому излучению. В приложении N 7 к настоящей Методике значения параметров микроклимата приведены применительно к работнику, одетому в комплект спецодежды с теплоизолирующими свойствами 0,8 - 1,0 кло, предназначенной для защиты от общих загрязнений, обладающей воздухо- и паропроницаемостью, соответственно,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50 дм3/м2с и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40 г/м2ч).</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приложении N 7 к настоящей Методике приведена температура воздуха применительно к оптимальным величинам скорости его движения. При увеличении скорости движения воздуха на рабочем месте на 0,1 м/с оптимальную температуру воздуха, приведенную в приложении, следует повысить на 0,2°C. Категории работ разграничиваются на основе интенсивности энергозатрат организма в ккал/ч (Вт) в соответствии с пунктом 44 настоящей Методики, а ДЭО - расчетная величина, вычисляемая в соответствии с пунктом 59 настоящей Методики.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устанавливается по параметру микроклимата, имеющему наиболее высокий класс (подкласс)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64. Отнесение условий труда к классу (подклассу) условий труда при воздействии параметров микроклимата в ситуациях, когда чередуется воздействие как нагревающего, так и охлаждающего микроклимата (работа в помещении, в нагревающей и охлаждающей среде различной продолжительности и физической активности), осуществляется раздельно по нагревающему и охлаждающему микроклимату.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65. В случае если в течение рабочего дня (смены) работник находится в различных </w:t>
      </w:r>
      <w:r w:rsidRPr="004F6638">
        <w:rPr>
          <w:rFonts w:ascii="Times New Roman" w:eastAsiaTheme="minorEastAsia" w:hAnsi="Times New Roman" w:cs="Times New Roman"/>
          <w:sz w:val="24"/>
          <w:szCs w:val="24"/>
          <w:lang w:eastAsia="ru-RU"/>
        </w:rPr>
        <w:lastRenderedPageBreak/>
        <w:t>производственных помещениях (рабочих зонах), характеризующихся различным уровнем термического воздействия, класс (подкласс) условий труда определяется как средневзвешенная величина (</w:t>
      </w:r>
      <w:r w:rsidRPr="004F6638">
        <w:rPr>
          <w:rFonts w:ascii="Times New Roman" w:eastAsiaTheme="minorEastAsia" w:hAnsi="Times New Roman" w:cs="Times New Roman"/>
          <w:noProof/>
          <w:sz w:val="24"/>
          <w:szCs w:val="24"/>
          <w:lang w:eastAsia="ru-RU"/>
        </w:rPr>
        <w:drawing>
          <wp:inline distT="0" distB="0" distL="0" distR="0">
            <wp:extent cx="381000" cy="200025"/>
            <wp:effectExtent l="0" t="0" r="0" b="9525"/>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с учетом продолжительности пребывания в каждой рабочей зоне: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705100" cy="352425"/>
            <wp:effectExtent l="0" t="0" r="0" b="9525"/>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05100" cy="3524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(5)</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66700" cy="180975"/>
            <wp:effectExtent l="0" t="0" r="0" b="9525"/>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276225" cy="171450"/>
            <wp:effectExtent l="0" t="0" r="9525"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условия труда в 1-ой, 2-ой, n-ой рабочих зонах соответственно, выраженные в баллах в соответствии с классом (подклассом)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61925" cy="171450"/>
            <wp:effectExtent l="0" t="0" r="9525"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52400" cy="152400"/>
            <wp:effectExtent l="0" t="0" r="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 </w:t>
      </w:r>
      <w:r w:rsidRPr="004F6638">
        <w:rPr>
          <w:rFonts w:ascii="Times New Roman" w:eastAsiaTheme="minorEastAsia" w:hAnsi="Times New Roman" w:cs="Times New Roman"/>
          <w:noProof/>
          <w:sz w:val="24"/>
          <w:szCs w:val="24"/>
          <w:lang w:eastAsia="ru-RU"/>
        </w:rPr>
        <w:drawing>
          <wp:inline distT="0" distB="0" distL="0" distR="0">
            <wp:extent cx="161925" cy="161925"/>
            <wp:effectExtent l="0" t="0" r="9525" b="9525"/>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время пребывания (в часах) в 1-ой, 2-ой, n-ой рабочих зонах соответственно;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T - продолжительность рабочего дня (смены) в часах, но не более 8 часов.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Рассчитанную по формуле (5) величину </w:t>
      </w:r>
      <w:r w:rsidRPr="004F6638">
        <w:rPr>
          <w:rFonts w:ascii="Times New Roman" w:eastAsiaTheme="minorEastAsia" w:hAnsi="Times New Roman" w:cs="Times New Roman"/>
          <w:noProof/>
          <w:sz w:val="24"/>
          <w:szCs w:val="24"/>
          <w:lang w:eastAsia="ru-RU"/>
        </w:rPr>
        <w:drawing>
          <wp:inline distT="0" distB="0" distL="0" distR="0">
            <wp:extent cx="381000" cy="200025"/>
            <wp:effectExtent l="0" t="0" r="0" b="9525"/>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(в баллах) переводят в класс (подкласс) условий труда согласно приложению N 8 к настоящей Методике с округлением величины </w:t>
      </w:r>
      <w:r w:rsidRPr="004F6638">
        <w:rPr>
          <w:rFonts w:ascii="Times New Roman" w:eastAsiaTheme="minorEastAsia" w:hAnsi="Times New Roman" w:cs="Times New Roman"/>
          <w:noProof/>
          <w:sz w:val="24"/>
          <w:szCs w:val="24"/>
          <w:lang w:eastAsia="ru-RU"/>
        </w:rPr>
        <w:drawing>
          <wp:inline distT="0" distB="0" distL="0" distR="0">
            <wp:extent cx="381000" cy="200025"/>
            <wp:effectExtent l="0" t="0" r="0" b="9525"/>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до целого значения.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66. Отнесение условий труда к классу (подклассу) условий труда при воздействии световой среды осуществляется по показателю освещенности рабочей поверхности.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67. Отнесение условий труда к классу (подклассу) условий труда при воздействии световой среды осуществляется в зависимости от результатов исследований (испытаний) и измерений освещенности рабочей поверхности в соответствии с приложением N 9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68. Нормативные значения освещенности рабочей поверхности Ен (для искусственного освещения рабочих мест) установлены в </w:t>
      </w:r>
      <w:hyperlink r:id="rId100" w:history="1">
        <w:r w:rsidRPr="004F6638">
          <w:rPr>
            <w:rFonts w:ascii="Times New Roman" w:eastAsiaTheme="minorEastAsia" w:hAnsi="Times New Roman" w:cs="Times New Roman"/>
            <w:sz w:val="24"/>
            <w:szCs w:val="24"/>
            <w:u w:val="single"/>
            <w:lang w:eastAsia="ru-RU"/>
          </w:rPr>
          <w:t>таблице 5.24</w:t>
        </w:r>
      </w:hyperlink>
      <w:r w:rsidRPr="004F6638">
        <w:rPr>
          <w:rFonts w:ascii="Times New Roman" w:eastAsiaTheme="minorEastAsia" w:hAnsi="Times New Roman" w:cs="Times New Roman"/>
          <w:sz w:val="24"/>
          <w:szCs w:val="24"/>
          <w:lang w:eastAsia="ru-RU"/>
        </w:rPr>
        <w:t xml:space="preserve"> "Требования к освещению рабочих мест на промышленных предприятиях" и в </w:t>
      </w:r>
      <w:hyperlink r:id="rId101" w:history="1">
        <w:r w:rsidRPr="004F6638">
          <w:rPr>
            <w:rFonts w:ascii="Times New Roman" w:eastAsiaTheme="minorEastAsia" w:hAnsi="Times New Roman" w:cs="Times New Roman"/>
            <w:sz w:val="24"/>
            <w:szCs w:val="24"/>
            <w:u w:val="single"/>
            <w:lang w:eastAsia="ru-RU"/>
          </w:rPr>
          <w:t>таблице 5.25</w:t>
        </w:r>
      </w:hyperlink>
      <w:r w:rsidRPr="004F6638">
        <w:rPr>
          <w:rFonts w:ascii="Times New Roman" w:eastAsiaTheme="minorEastAsia" w:hAnsi="Times New Roman" w:cs="Times New Roman"/>
          <w:sz w:val="24"/>
          <w:szCs w:val="24"/>
          <w:lang w:eastAsia="ru-RU"/>
        </w:rPr>
        <w:t xml:space="preserve"> "Требования к освещению рабочих мест в помещениях общественных зданий, а также сопутствующих им производственных помещениях"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69. При работе на открытой территории только в дневное время суток, когда источником света дополнительно является солнечное излучение, условия труда на рабочем месте по показателю освещенности рабочей поверхности признаются допустимыми условиями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70. При расположении рабочего места в нескольких рабочих зонах (в помещениях, на участках, на открытой территории) отнесение условий труда к классу (подклассу) условий труда при воздействии световой среды осуществляется с учетом времени пребывания в разных рабочих зонах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552700" cy="180975"/>
            <wp:effectExtent l="0" t="0" r="0" b="9525"/>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5527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(6)</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УТ - условия труда, выраженные в баллах;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lastRenderedPageBreak/>
        <w:drawing>
          <wp:inline distT="0" distB="0" distL="0" distR="0">
            <wp:extent cx="266700" cy="180975"/>
            <wp:effectExtent l="0" t="0" r="0" b="9525"/>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276225" cy="171450"/>
            <wp:effectExtent l="0" t="0" r="9525"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условия труда в 1-ой, 2-ой, n-ой рабочих зонах соответственно, выраженные в баллах относительно класса (подкласса) условий труда (допустимые условия труда - 0 баллов; вредные условия труда (подкласс 3.1) - 1 балл; вредные условия труда (подкласс 3.2) - 2 балла);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61925" cy="171450"/>
            <wp:effectExtent l="0" t="0" r="9525"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52400" cy="152400"/>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 </w:t>
      </w:r>
      <w:r w:rsidRPr="004F6638">
        <w:rPr>
          <w:rFonts w:ascii="Times New Roman" w:eastAsiaTheme="minorEastAsia" w:hAnsi="Times New Roman" w:cs="Times New Roman"/>
          <w:noProof/>
          <w:sz w:val="24"/>
          <w:szCs w:val="24"/>
          <w:lang w:eastAsia="ru-RU"/>
        </w:rPr>
        <w:drawing>
          <wp:inline distT="0" distB="0" distL="0" distR="0">
            <wp:extent cx="161925" cy="161925"/>
            <wp:effectExtent l="0" t="0" r="9525" b="9525"/>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относительное время пребывания (в долях единицы) в 1-ой, 2-ой, n-ой рабочих зонах соответственно.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при воздействии световой среды осуществляется на основании рассчитанной суммы баллов УТ следующим образом: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условия труда признаются допустимыми условиями труда, если 0 </w:t>
      </w: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УТ &lt; 0,5;</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условия труда признаются вредными условиями труда (подкласс 3.1), если 0,5 </w:t>
      </w: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УТ &lt; 1,5;</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условия труда признаются вредными условиями труда (подкласс 3.2), если 1,5 </w:t>
      </w: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УТ &lt; 2,0.</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71. Отнесение условий труда к классу (подклассу) условий труда при воздействии неионизирующих излучений осуществляется в соответствии с приложением N 10 к настоящей Методике при наличии неионизирующих излучений от производственного оборудования, за исключением рабочих мест, на которых работники заняты только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Значения ПДУ электростатического поля определяются в зависимости от времени воздействия фактора в течение рабочего дня (смены) в соответствии с </w:t>
      </w:r>
      <w:hyperlink r:id="rId112" w:history="1">
        <w:r w:rsidRPr="004F6638">
          <w:rPr>
            <w:rFonts w:ascii="Times New Roman" w:eastAsiaTheme="minorEastAsia" w:hAnsi="Times New Roman" w:cs="Times New Roman"/>
            <w:sz w:val="24"/>
            <w:szCs w:val="24"/>
            <w:u w:val="single"/>
            <w:lang w:eastAsia="ru-RU"/>
          </w:rPr>
          <w:t>пунктом 37</w:t>
        </w:r>
      </w:hyperlink>
      <w:r w:rsidRPr="004F6638">
        <w:rPr>
          <w:rFonts w:ascii="Times New Roman" w:eastAsiaTheme="minorEastAsia" w:hAnsi="Times New Roman" w:cs="Times New Roman"/>
          <w:sz w:val="24"/>
          <w:szCs w:val="24"/>
          <w:lang w:eastAsia="ru-RU"/>
        </w:rPr>
        <w:t xml:space="preserve">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Значения ПДУ электрических полей промышленной частоты (50 Гц) определяются в зависимости от времени воздействия фактора в течение рабочего дня (смены) в соответствии с </w:t>
      </w:r>
      <w:hyperlink r:id="rId113" w:history="1">
        <w:r w:rsidRPr="004F6638">
          <w:rPr>
            <w:rFonts w:ascii="Times New Roman" w:eastAsiaTheme="minorEastAsia" w:hAnsi="Times New Roman" w:cs="Times New Roman"/>
            <w:sz w:val="24"/>
            <w:szCs w:val="24"/>
            <w:u w:val="single"/>
            <w:lang w:eastAsia="ru-RU"/>
          </w:rPr>
          <w:t>пунктом 38</w:t>
        </w:r>
      </w:hyperlink>
      <w:r w:rsidRPr="004F6638">
        <w:rPr>
          <w:rFonts w:ascii="Times New Roman" w:eastAsiaTheme="minorEastAsia" w:hAnsi="Times New Roman" w:cs="Times New Roman"/>
          <w:sz w:val="24"/>
          <w:szCs w:val="24"/>
          <w:lang w:eastAsia="ru-RU"/>
        </w:rPr>
        <w:t xml:space="preserve">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Значения ПДУ постоянного магнитного поля определяются в зависимости от времени воздействия фактора в течение рабочего дня (смены) в соответствии с </w:t>
      </w:r>
      <w:hyperlink r:id="rId114" w:history="1">
        <w:r w:rsidRPr="004F6638">
          <w:rPr>
            <w:rFonts w:ascii="Times New Roman" w:eastAsiaTheme="minorEastAsia" w:hAnsi="Times New Roman" w:cs="Times New Roman"/>
            <w:sz w:val="24"/>
            <w:szCs w:val="24"/>
            <w:u w:val="single"/>
            <w:lang w:eastAsia="ru-RU"/>
          </w:rPr>
          <w:t>таблицей 5.8</w:t>
        </w:r>
      </w:hyperlink>
      <w:r w:rsidRPr="004F6638">
        <w:rPr>
          <w:rFonts w:ascii="Times New Roman" w:eastAsiaTheme="minorEastAsia" w:hAnsi="Times New Roman" w:cs="Times New Roman"/>
          <w:sz w:val="24"/>
          <w:szCs w:val="24"/>
          <w:lang w:eastAsia="ru-RU"/>
        </w:rPr>
        <w:t xml:space="preserve"> "Предельно допустимые уровни постоянного магнитного поля на рабочих местах"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Значения ПДУ магнитных полей промышленной частоты (50 Гц) определяются в зависимости от времени воздействия фактора в течение рабочего дня (смены) в соответствии с </w:t>
      </w:r>
      <w:hyperlink r:id="rId115" w:history="1">
        <w:r w:rsidRPr="004F6638">
          <w:rPr>
            <w:rFonts w:ascii="Times New Roman" w:eastAsiaTheme="minorEastAsia" w:hAnsi="Times New Roman" w:cs="Times New Roman"/>
            <w:sz w:val="24"/>
            <w:szCs w:val="24"/>
            <w:u w:val="single"/>
            <w:lang w:eastAsia="ru-RU"/>
          </w:rPr>
          <w:t>таблицей 5.9</w:t>
        </w:r>
      </w:hyperlink>
      <w:r w:rsidRPr="004F6638">
        <w:rPr>
          <w:rFonts w:ascii="Times New Roman" w:eastAsiaTheme="minorEastAsia" w:hAnsi="Times New Roman" w:cs="Times New Roman"/>
          <w:sz w:val="24"/>
          <w:szCs w:val="24"/>
          <w:lang w:eastAsia="ru-RU"/>
        </w:rPr>
        <w:t xml:space="preserve"> "ПДУ синусоидального (периодического) магнитного поля частотой 50 Гц"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Для электромагнитных излучений радиочастотного диапазона рассматривается ПДУ энергетической экспозиции электромагнитного излучения. При этом значения ПДУ определяются в зависимости от времени воздействия фактора в течение рабочего дня (смены) в соответствии с пунктами </w:t>
      </w:r>
      <w:hyperlink r:id="rId116" w:history="1">
        <w:r w:rsidRPr="004F6638">
          <w:rPr>
            <w:rFonts w:ascii="Times New Roman" w:eastAsiaTheme="minorEastAsia" w:hAnsi="Times New Roman" w:cs="Times New Roman"/>
            <w:sz w:val="24"/>
            <w:szCs w:val="24"/>
            <w:u w:val="single"/>
            <w:lang w:eastAsia="ru-RU"/>
          </w:rPr>
          <w:t>44</w:t>
        </w:r>
      </w:hyperlink>
      <w:r w:rsidRPr="004F6638">
        <w:rPr>
          <w:rFonts w:ascii="Times New Roman" w:eastAsiaTheme="minorEastAsia" w:hAnsi="Times New Roman" w:cs="Times New Roman"/>
          <w:sz w:val="24"/>
          <w:szCs w:val="24"/>
          <w:lang w:eastAsia="ru-RU"/>
        </w:rPr>
        <w:t xml:space="preserve"> - </w:t>
      </w:r>
      <w:hyperlink r:id="rId117" w:history="1">
        <w:r w:rsidRPr="004F6638">
          <w:rPr>
            <w:rFonts w:ascii="Times New Roman" w:eastAsiaTheme="minorEastAsia" w:hAnsi="Times New Roman" w:cs="Times New Roman"/>
            <w:sz w:val="24"/>
            <w:szCs w:val="24"/>
            <w:u w:val="single"/>
            <w:lang w:eastAsia="ru-RU"/>
          </w:rPr>
          <w:t>52</w:t>
        </w:r>
      </w:hyperlink>
      <w:r w:rsidRPr="004F6638">
        <w:rPr>
          <w:rFonts w:ascii="Times New Roman" w:eastAsiaTheme="minorEastAsia" w:hAnsi="Times New Roman" w:cs="Times New Roman"/>
          <w:sz w:val="24"/>
          <w:szCs w:val="24"/>
          <w:lang w:eastAsia="ru-RU"/>
        </w:rPr>
        <w:t xml:space="preserve"> и таблицами </w:t>
      </w:r>
      <w:hyperlink r:id="rId118" w:history="1">
        <w:r w:rsidRPr="004F6638">
          <w:rPr>
            <w:rFonts w:ascii="Times New Roman" w:eastAsiaTheme="minorEastAsia" w:hAnsi="Times New Roman" w:cs="Times New Roman"/>
            <w:sz w:val="24"/>
            <w:szCs w:val="24"/>
            <w:u w:val="single"/>
            <w:lang w:eastAsia="ru-RU"/>
          </w:rPr>
          <w:t>5.11</w:t>
        </w:r>
      </w:hyperlink>
      <w:r w:rsidRPr="004F6638">
        <w:rPr>
          <w:rFonts w:ascii="Times New Roman" w:eastAsiaTheme="minorEastAsia" w:hAnsi="Times New Roman" w:cs="Times New Roman"/>
          <w:sz w:val="24"/>
          <w:szCs w:val="24"/>
          <w:lang w:eastAsia="ru-RU"/>
        </w:rPr>
        <w:t xml:space="preserve"> "ПДУ энергетических экспозиций ЭМП диапазона частот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30 кГц - 300 ГГц" и </w:t>
      </w:r>
      <w:hyperlink r:id="rId120" w:history="1">
        <w:r w:rsidRPr="004F6638">
          <w:rPr>
            <w:rFonts w:ascii="Times New Roman" w:eastAsiaTheme="minorEastAsia" w:hAnsi="Times New Roman" w:cs="Times New Roman"/>
            <w:sz w:val="24"/>
            <w:szCs w:val="24"/>
            <w:u w:val="single"/>
            <w:lang w:eastAsia="ru-RU"/>
          </w:rPr>
          <w:t>5.12</w:t>
        </w:r>
      </w:hyperlink>
      <w:r w:rsidRPr="004F6638">
        <w:rPr>
          <w:rFonts w:ascii="Times New Roman" w:eastAsiaTheme="minorEastAsia" w:hAnsi="Times New Roman" w:cs="Times New Roman"/>
          <w:sz w:val="24"/>
          <w:szCs w:val="24"/>
          <w:lang w:eastAsia="ru-RU"/>
        </w:rPr>
        <w:t xml:space="preserve"> "Максимальные ПДУ напряженности и плотности потока энергии ЭМП диапазона частот </w:t>
      </w: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30 кГц - 300 ГГц" СанПиН 1.2.3685-21.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72. При действии неионизирующих электромагнитных полей и излучений условия труда признаются вредными условиями труда для электрического поля частотой 50 Гц и </w:t>
      </w:r>
      <w:r w:rsidRPr="004F6638">
        <w:rPr>
          <w:rFonts w:ascii="Times New Roman" w:eastAsiaTheme="minorEastAsia" w:hAnsi="Times New Roman" w:cs="Times New Roman"/>
          <w:sz w:val="24"/>
          <w:szCs w:val="24"/>
          <w:lang w:eastAsia="ru-RU"/>
        </w:rPr>
        <w:lastRenderedPageBreak/>
        <w:t>электромагнитного поля в диапазоне частот 30 МГц - 300 ГГц при превышений их максимальных ПДУ до значений, предусмотренных приложением N 10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73. При одновременном или последовательном пребывании работника в течение рабочего дня (смены) в условиях воздействия нескольких электромагнитных полей и излучений от производственного оборудования, для которых установлены разные ПДУ, класс (подкласс) условий труда устанавливается по показателю, для которого определена наиболее высокая степень вредности.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превышение ПДУ двух и более оцениваемых показателей, отнесенных к одной и той же степени вредности, повышает класс (подкласс) условий труда на одну степень.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74. При воздействии неионизирующих электромагнитных излучений оптического диапазона (лазерное, ультрафиолетовое) отнесение условий труда к классу (подклассу) условий труда при воздействии неионизирующих излучений осуществляется в соответствии с приложением N 11 к настоящей Методике. Указанные в таблице 1 приложения N 11 значения </w:t>
      </w:r>
      <w:r w:rsidRPr="004F6638">
        <w:rPr>
          <w:rFonts w:ascii="Times New Roman" w:eastAsiaTheme="minorEastAsia" w:hAnsi="Times New Roman" w:cs="Times New Roman"/>
          <w:noProof/>
          <w:sz w:val="24"/>
          <w:szCs w:val="24"/>
          <w:lang w:eastAsia="ru-RU"/>
        </w:rPr>
        <w:drawing>
          <wp:inline distT="0" distB="0" distL="0" distR="0">
            <wp:extent cx="342900" cy="19050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323850" cy="19050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23825" cy="142875"/>
            <wp:effectExtent l="0" t="0" r="9525" b="9525"/>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t устанавливаются в соответствии с таблицами </w:t>
      </w:r>
      <w:hyperlink r:id="rId125" w:history="1">
        <w:r w:rsidRPr="004F6638">
          <w:rPr>
            <w:rFonts w:ascii="Times New Roman" w:eastAsiaTheme="minorEastAsia" w:hAnsi="Times New Roman" w:cs="Times New Roman"/>
            <w:sz w:val="24"/>
            <w:szCs w:val="24"/>
            <w:u w:val="single"/>
            <w:lang w:eastAsia="ru-RU"/>
          </w:rPr>
          <w:t>5.15</w:t>
        </w:r>
      </w:hyperlink>
      <w:r w:rsidRPr="004F6638">
        <w:rPr>
          <w:rFonts w:ascii="Times New Roman" w:eastAsiaTheme="minorEastAsia" w:hAnsi="Times New Roman" w:cs="Times New Roman"/>
          <w:sz w:val="24"/>
          <w:szCs w:val="24"/>
          <w:lang w:eastAsia="ru-RU"/>
        </w:rPr>
        <w:t xml:space="preserve"> - </w:t>
      </w:r>
      <w:hyperlink r:id="rId126" w:history="1">
        <w:r w:rsidRPr="004F6638">
          <w:rPr>
            <w:rFonts w:ascii="Times New Roman" w:eastAsiaTheme="minorEastAsia" w:hAnsi="Times New Roman" w:cs="Times New Roman"/>
            <w:sz w:val="24"/>
            <w:szCs w:val="24"/>
            <w:u w:val="single"/>
            <w:lang w:eastAsia="ru-RU"/>
          </w:rPr>
          <w:t>5.21</w:t>
        </w:r>
      </w:hyperlink>
      <w:r w:rsidRPr="004F6638">
        <w:rPr>
          <w:rFonts w:ascii="Times New Roman" w:eastAsiaTheme="minorEastAsia" w:hAnsi="Times New Roman" w:cs="Times New Roman"/>
          <w:sz w:val="24"/>
          <w:szCs w:val="24"/>
          <w:lang w:eastAsia="ru-RU"/>
        </w:rPr>
        <w:t xml:space="preserve"> СанПиН 1.2.3685-21. При превышении </w:t>
      </w:r>
      <w:r w:rsidRPr="004F6638">
        <w:rPr>
          <w:rFonts w:ascii="Times New Roman" w:eastAsiaTheme="minorEastAsia" w:hAnsi="Times New Roman" w:cs="Times New Roman"/>
          <w:noProof/>
          <w:sz w:val="24"/>
          <w:szCs w:val="24"/>
          <w:lang w:eastAsia="ru-RU"/>
        </w:rPr>
        <w:drawing>
          <wp:inline distT="0" distB="0" distL="0" distR="0">
            <wp:extent cx="342900" cy="19050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и </w:t>
      </w:r>
      <w:r w:rsidRPr="004F6638">
        <w:rPr>
          <w:rFonts w:ascii="Times New Roman" w:eastAsiaTheme="minorEastAsia" w:hAnsi="Times New Roman" w:cs="Times New Roman"/>
          <w:noProof/>
          <w:sz w:val="24"/>
          <w:szCs w:val="24"/>
          <w:lang w:eastAsia="ru-RU"/>
        </w:rPr>
        <w:drawing>
          <wp:inline distT="0" distB="0" distL="0" distR="0">
            <wp:extent cx="323850" cy="19050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работа разрешается только при использовании средств индивидуальной или коллективной защиты.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таблице 2 приложения N 11 допустимая интенсивность облучения работников ультрафиолетовым излучением определена в соответствии с пунктами </w:t>
      </w:r>
      <w:hyperlink r:id="rId128" w:history="1">
        <w:r w:rsidRPr="004F6638">
          <w:rPr>
            <w:rFonts w:ascii="Times New Roman" w:eastAsiaTheme="minorEastAsia" w:hAnsi="Times New Roman" w:cs="Times New Roman"/>
            <w:sz w:val="24"/>
            <w:szCs w:val="24"/>
            <w:u w:val="single"/>
            <w:lang w:eastAsia="ru-RU"/>
          </w:rPr>
          <w:t>78</w:t>
        </w:r>
      </w:hyperlink>
      <w:r w:rsidRPr="004F6638">
        <w:rPr>
          <w:rFonts w:ascii="Times New Roman" w:eastAsiaTheme="minorEastAsia" w:hAnsi="Times New Roman" w:cs="Times New Roman"/>
          <w:sz w:val="24"/>
          <w:szCs w:val="24"/>
          <w:lang w:eastAsia="ru-RU"/>
        </w:rPr>
        <w:t xml:space="preserve"> - </w:t>
      </w:r>
      <w:hyperlink r:id="rId129" w:history="1">
        <w:r w:rsidRPr="004F6638">
          <w:rPr>
            <w:rFonts w:ascii="Times New Roman" w:eastAsiaTheme="minorEastAsia" w:hAnsi="Times New Roman" w:cs="Times New Roman"/>
            <w:sz w:val="24"/>
            <w:szCs w:val="24"/>
            <w:u w:val="single"/>
            <w:lang w:eastAsia="ru-RU"/>
          </w:rPr>
          <w:t>81</w:t>
        </w:r>
      </w:hyperlink>
      <w:r w:rsidRPr="004F6638">
        <w:rPr>
          <w:rFonts w:ascii="Times New Roman" w:eastAsiaTheme="minorEastAsia" w:hAnsi="Times New Roman" w:cs="Times New Roman"/>
          <w:sz w:val="24"/>
          <w:szCs w:val="24"/>
          <w:lang w:eastAsia="ru-RU"/>
        </w:rPr>
        <w:t xml:space="preserve"> СанПиН 1.2.3685-21. При повышении допустимой интенсивности облучения работников ультрафиолетовым излучением работа разрешается только при использовании средств индивидуальной или коллективной защиты.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75. При работе с источниками ионизирующего излучения вредные условия труда характеризуются наличием вредных и (или) опасных факторов, не превышающих гигиенические нормативы, установленные </w:t>
      </w:r>
      <w:hyperlink r:id="rId130" w:history="1">
        <w:r w:rsidRPr="004F6638">
          <w:rPr>
            <w:rFonts w:ascii="Times New Roman" w:eastAsiaTheme="minorEastAsia" w:hAnsi="Times New Roman" w:cs="Times New Roman"/>
            <w:sz w:val="24"/>
            <w:szCs w:val="24"/>
            <w:u w:val="single"/>
            <w:lang w:eastAsia="ru-RU"/>
          </w:rPr>
          <w:t>СанПиН 2.6.1.2523-09</w:t>
        </w:r>
      </w:hyperlink>
      <w:r w:rsidRPr="004F6638">
        <w:rPr>
          <w:rFonts w:ascii="Times New Roman" w:eastAsiaTheme="minorEastAsia" w:hAnsi="Times New Roman" w:cs="Times New Roman"/>
          <w:sz w:val="24"/>
          <w:szCs w:val="24"/>
          <w:lang w:eastAsia="ru-RU"/>
        </w:rPr>
        <w:t xml:space="preserve"> "Нормы радиационной безопасности", утвержденными постановлением Главного государственного санитарного врача Российской Федерации </w:t>
      </w:r>
      <w:hyperlink r:id="rId131" w:history="1">
        <w:r w:rsidRPr="004F6638">
          <w:rPr>
            <w:rFonts w:ascii="Times New Roman" w:eastAsiaTheme="minorEastAsia" w:hAnsi="Times New Roman" w:cs="Times New Roman"/>
            <w:sz w:val="24"/>
            <w:szCs w:val="24"/>
            <w:u w:val="single"/>
            <w:lang w:eastAsia="ru-RU"/>
          </w:rPr>
          <w:t>от 7 июля 2009 г. N 47</w:t>
        </w:r>
      </w:hyperlink>
      <w:r w:rsidRPr="004F6638">
        <w:rPr>
          <w:rFonts w:ascii="Times New Roman" w:eastAsiaTheme="minorEastAsia" w:hAnsi="Times New Roman" w:cs="Times New Roman"/>
          <w:sz w:val="24"/>
          <w:szCs w:val="24"/>
          <w:lang w:eastAsia="ru-RU"/>
        </w:rPr>
        <w:t xml:space="preserve"> &lt;18&gt; (далее - НРБ-99/2009).</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&lt;18&gt; Зарегистрировано Министерством юстиции Российской Федерации 14 августа 2009 г., регистрационный N 14534.</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76. Степень вредности (опасности) условий труда при воздействии ионизирующих излучений определяется увеличением риска возникновения стохастических беспороговых эффектов.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77. В качестве гигиенического критерия для отнесения условий труда к соответствующему классу (подклассу) условий труда при воздействии ионизирующего излучения принимается максимальная потенциальная эффективная (эквивалентная) доза излучения (далее - МПД), которая определяется за календарный год при работе с источниками ионизирующих излучений в стандартных условиях на конкретном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78. МПД определяется по формуле (7) для эффективной дозы и (или) по формуле (8) - для эквивалентной дозы: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3400425" cy="352425"/>
            <wp:effectExtent l="0" t="0" r="9525" b="9525"/>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400425" cy="3524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(7)</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МПД - максимальная потенциальная эффективная доза за год, мЗв/год;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390525" cy="180975"/>
            <wp:effectExtent l="0" t="0" r="9525"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мощность амбиентной дозы внешнего излучения на рабочем месте, определенная по данным радиационного контроля, мкЗв/ч;</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76225" cy="200025"/>
            <wp:effectExtent l="0" t="0" r="9525" b="9525"/>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объемная активность аэрозолей (газов) соединений радионуклида U типа соединения при ингаляции G на рабочем месте, определенная по данным радиационного контроля, Бк/м3;</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542925" cy="238125"/>
            <wp:effectExtent l="0" t="0" r="9525" b="9525"/>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дозовый коэффициент для соединения радионуклида U типа соединения при ингаляции G в соответствии с приложением N 1 к НРБ-99/2009, Зв/Бк;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 коэффициент, учитывающий стандартное время облучения работников в течение календарного года (2000 часов в год для персонала группы "А") и размерность единиц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мкЗв/мЗв);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1,4 </w:t>
      </w:r>
      <w:r w:rsidRPr="004F6638">
        <w:rPr>
          <w:rFonts w:ascii="Times New Roman" w:eastAsiaTheme="minorEastAsia" w:hAnsi="Times New Roman" w:cs="Times New Roman"/>
          <w:noProof/>
          <w:sz w:val="24"/>
          <w:szCs w:val="24"/>
          <w:lang w:eastAsia="ru-RU"/>
        </w:rPr>
        <w:drawing>
          <wp:inline distT="0" distB="0" distL="0" distR="0">
            <wp:extent cx="133350" cy="133350"/>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w:t>
      </w:r>
      <w:r w:rsidRPr="004F6638">
        <w:rPr>
          <w:rFonts w:ascii="Times New Roman" w:eastAsiaTheme="minorEastAsia" w:hAnsi="Times New Roman" w:cs="Times New Roman"/>
          <w:noProof/>
          <w:sz w:val="24"/>
          <w:szCs w:val="24"/>
          <w:lang w:eastAsia="ru-RU"/>
        </w:rPr>
        <w:drawing>
          <wp:inline distT="0" distB="0" distL="0" distR="0">
            <wp:extent cx="266700" cy="19050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коэффициент, учитывающий объем дыхания за год ( 1,4 </w:t>
      </w:r>
      <w:r w:rsidRPr="004F6638">
        <w:rPr>
          <w:rFonts w:ascii="Times New Roman" w:eastAsiaTheme="minorEastAsia" w:hAnsi="Times New Roman" w:cs="Times New Roman"/>
          <w:noProof/>
          <w:sz w:val="24"/>
          <w:szCs w:val="24"/>
          <w:lang w:eastAsia="ru-RU"/>
        </w:rPr>
        <w:drawing>
          <wp:inline distT="0" distB="0" distL="0" distR="0">
            <wp:extent cx="133350" cy="133350"/>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м3/год для персонала группы "А") и размерность единиц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мкЗв/Зв);</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504950" cy="19050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50495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(8)</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609600" cy="19050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_ максимальная потенциальная эквивалентная доза на орган на данном рабочем месте за год, мЗв/год;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504825" cy="190500"/>
            <wp:effectExtent l="0" t="0" r="9525"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мощность амбиентной дозы внешнего облучения органа на рабочем месте, определенная по данным радиационного контроля, мкЗв/ч;</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 коэффициент, учитывающий стандартное время облучения в течение календарного года (2000 часов в год для персонала группы "А") и размерность единиц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мкЗв/мЗв).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79. При воздействии на работника в течение рабочего дня (смены) или года различных мощностей МПД эффективной и (или) эквивалентной дозы (при работе в разных помещениях или рабочих зонах) определяется средневзвешенное значение мощности МПД при выполнении производственных операций по формуле: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743075" cy="390525"/>
            <wp:effectExtent l="0" t="0" r="9525"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743075" cy="3905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(9)</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где: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371475" cy="171450"/>
            <wp:effectExtent l="0" t="0" r="952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мощность максимальной потенциальной дозы, рассчитанная для i-го помещения (рабочей зоны), мЗв/год;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219075" cy="180975"/>
            <wp:effectExtent l="0" t="0" r="9525" b="9525"/>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время выполнения работ на i-м рабочем месте (рабочей зоне), час/год.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80. При расчете МПД продолжительность рабочего времени для персонала группы "А" и для всех остальных работников принимается равной 2000 часам в 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81. Отнесение условий труда к классу (подклассу) условий труда при воздействии ионизирующего излучения осуществляется в соответствии с приложением N 12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82. Отнесение условий труда к классу (подклассу) условий труда при воздействии ионизирующего излучения осуществляется на основе систематических данных текущего и оперативного контроля за год.</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83. Отнесение условий труда к классу (подклассу) условий труда по тяжести трудового процесса осуществляется по следующим показателям: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физическая динамическая нагрузка;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масса поднимаемого и перемещаемого груза вручную;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стереотипные рабочие движения;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статическая нагрузка;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рабочая поза;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наклоны корпуса;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перемещение в пространстве.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84. При выполнении работ, связанных с неравномерными физическими нагрузками в разные рабочие дни (смены), отнесение условий труда к классу (подклассу) условий труда по тяжести трудового процесса (за исключением массы поднимаемого и перемещаемого груза и наклонов корпуса тела работника) осуществляется по средним показателям за 2 - 3 рабочих дня (смены).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Масса поднимаемого и перемещаемого работником вручную груза и наклоны корпуса оцениваются по максимальным значениям.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85. Отнесение условий труда к классу (подклассу) условий труда по тяжести трудового процесса при физической динамической нагрузке осуществляется путем определения массы груза (деталей, изделий, инструментов), перемещаемого вручную работником при каждой операции, и расстояния перемещения груза в метрах. После этого подсчитывается общее количество операций по переносу работником груза в течение рабочего дня (смены) и определяется величина физической динамической нагрузки (кг </w:t>
      </w:r>
      <w:r w:rsidRPr="004F6638">
        <w:rPr>
          <w:rFonts w:ascii="Times New Roman" w:eastAsiaTheme="minorEastAsia" w:hAnsi="Times New Roman" w:cs="Times New Roman"/>
          <w:noProof/>
          <w:sz w:val="24"/>
          <w:szCs w:val="24"/>
          <w:lang w:eastAsia="ru-RU"/>
        </w:rPr>
        <w:drawing>
          <wp:inline distT="0" distB="0" distL="0" distR="0">
            <wp:extent cx="133350" cy="13335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м) в течение рабочего дня (смены).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физической динамической нагрузке осуществляется в соответствии с таблицей 1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86. При работах, обусловленных как региональными, так и общими физическими нагрузками в течение рабочего дня (смены), связанных с перемещением груза на различные расстояния, определяется суммарная механическая работа за рабочий день (смену), значение которой соотносится со значениями, предусмотренными таблицей 1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87. Отнесение условий труда к классу (подклассу) условий труда по тяжести трудового процесса при поднятии и перемещении работником груза вручную осуществляется путем </w:t>
      </w:r>
      <w:r w:rsidRPr="004F6638">
        <w:rPr>
          <w:rFonts w:ascii="Times New Roman" w:eastAsiaTheme="minorEastAsia" w:hAnsi="Times New Roman" w:cs="Times New Roman"/>
          <w:sz w:val="24"/>
          <w:szCs w:val="24"/>
          <w:lang w:eastAsia="ru-RU"/>
        </w:rPr>
        <w:lastRenderedPageBreak/>
        <w:t>взвешивания такого груза или определения его массы по эксплуатационной и технологической документации, если выполнить измерение массы такого груза путем взвешивания в условиях штатного производственного процесса не представляется возможным. В случае определения массы груза по эксплуатационной и технологической документации соответствующая запись делается в протоколе исследований (испытаний) и измерений тяжести трудового процесса с указанием отсылочных данных на эксплуатационную и технологическую документацию, содержащую сведения о массе поднимаемого и перемещаемого работником груза вручную.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поднятии и перемещении груза вручную осуществляется в соответствии с таблицей 2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определения суммарной массы груза, перемещаемого в течение каждого часа рабочего дня (смены), вес всех грузов за рабочий день (смену) суммируется. Независимо от фактической длительности рабочего дня (смены) суммарную массу груза за рабочий день (смену) делят на количество часов рабочего дня (смены).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случаях, когда перемещение работником груза вручную происходит как с рабочей поверхности, так и с пола, показатели суммируются. Если с рабочей поверхности перемещался больший груз, чем с пола, то полученную величину следует сопоставлять именно с этим показателем, а если наибольшее перемещение производилось с пола - то с показателем суммарной массы груза в час при перемещении с пола. Если с рабочей поверхности и с пола перемещается равный груз, то суммарную массу груза сопоставляют с показателем перемещения с пола.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88. Отнесение условий труда к классу (подклассу) условий труда по тяжести трудового процесса при выполнении работником стереотипных рабочих движений и локальной нагрузке (с участием мышц кистей и пальцев рук) осуществляется путем подсчета числа движений работника за 10 - 15 минут, определения числа его движений за 1 минуту и расчета общего количества движений работника за время, в течение которого выполняется данная работа (умножение на количество минут рабочего дня (смены), в течение которых выполняется работа).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выполнении стереотипных рабочих движений и локальной нагрузке осуществляется в соответствии с таблицей 3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89. Отнесение условий труда к классу (подклассу) условий труда по тяжести трудового процесса при выполнении работником стереотипных рабочих движений и региональной нагрузке (при работе с преимущественным участием мышц рук и плечевого пояса) осуществляется путем подсчета их количества за 10 - 15 минут или за 1 - 2 повторяемые операции, несколько раз за рабочий день (смену). После оценки общего количества операций или времени выполнения работы определяется общее количество региональных движений за рабочий день (смену).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выполнении стереотипных рабочих движений и региональной нагрузке осуществляется в соответствии с таблицей 3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90. 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путем перемножения двух параметров: веса груза либо </w:t>
      </w:r>
      <w:r w:rsidRPr="004F6638">
        <w:rPr>
          <w:rFonts w:ascii="Times New Roman" w:eastAsiaTheme="minorEastAsia" w:hAnsi="Times New Roman" w:cs="Times New Roman"/>
          <w:sz w:val="24"/>
          <w:szCs w:val="24"/>
          <w:lang w:eastAsia="ru-RU"/>
        </w:rPr>
        <w:lastRenderedPageBreak/>
        <w:t>величины удерживающего усилия и времени его удерживания.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в соответствии с таблицей 4 приложения N 13 к настоящей Методике при выполнении следующих действий, связанных со статическим усилием: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удержание обрабатываемого изделия (инструмента),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прижим обрабатываемого инструмента (изделия) к обрабатываемому изделию (инструменту),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перемещение органов управления (рукояток, маховиков, штурвалов) или тележек.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удержании обрабатываемого изделия (инструмента) величина статического усилия определяется весом удерживаемого изделия (инструмента). Вес изделия определяется путем взвешивания.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прижиме обрабатываемого инструмента (изделия) к обрабатываемому изделию (инструменту) величина усилия прижима определяется с помощью тензометрических, пьезокристаллических или других датчиков, которые необходимо закрепить на инструменте или изделии.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перемещении органов управления (рукояток, маховиков, штурвалов) или тележек усилие на органах управления допускается определять с помощью динамометра или по технологической (эксплуатационной) документации.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Время удерживания статического усилия определяется на основании хронометражных измерений в течение рабочего дня (смены). Отнесение условий труда к классу (подклассу) условий труда по тяжести трудового процесса при статической нагрузке, связанной с удержанием груза или приложением усилий, осуществляется с учетом определенной преимущественной нагрузки: на одну руку, на две руки или с участием мышц корпуса и ног. Если при выполнении работы встречается 2 или 3 указанных выше вида статической нагрузки, то их следует суммировать и суммарную величину статической нагрузки соотносить с показателем преимущественной нагрузки.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91. Отнесение условий труда к классу (подклассу) условий труда по тяжести трудового процесса с учетом рабочего положения тела работника осуществляется путем определения абсолютного времени (в минутах, часах) пребывания в каждой рабочей позе, которое устанавливается на основании документарно оформленных хронометражных наблюдений за рабочий день (смену). После этого рассчитывается время пребывания в относительных величинах (в процентах к 8-часовому рабочему дню (смене) независимо от его фактической продолжительности).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с учетом рабочего положения тела работника в течение рабочего дня (смены) осуществляется в соответствии с таблицей 5 приложения N 13 к настоящей Методике. При этом к работе в положении "стоя" относится работа, которая не предполагает возможности ее выполнения в положении "сидя". Время пребывания в рабочей позе "стоя" определяется путем сложения времени работы работника в положении "стоя" и времени его перемещения в пространстве между объектами в радиусе не более 5 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Неудобное рабочее положение работника связано с выполнением работ с наклоном или поворотом туловища, с поднятыми выше уровня плеч руками, с неудобным размещением ног, </w:t>
      </w:r>
      <w:r w:rsidRPr="004F6638">
        <w:rPr>
          <w:rFonts w:ascii="Times New Roman" w:eastAsiaTheme="minorEastAsia" w:hAnsi="Times New Roman" w:cs="Times New Roman"/>
          <w:sz w:val="24"/>
          <w:szCs w:val="24"/>
          <w:lang w:eastAsia="ru-RU"/>
        </w:rPr>
        <w:lastRenderedPageBreak/>
        <w:t>с необходимостью удержания работником рук на весу. Неудобное рабочее положение также характерно для работ, при которых органы управления или рабочие поверхности производственного оборудования расположены вне пределов максимальной досягаемости рук работника либо в поле зрения работника находятся объекты, препятствующие наблюдению за обслуживаемым объектом или процессом.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 фиксированным рабочим положениям работника относятся положения с невозможностью изменения взаимного положения различных частей тела работника относительно друг друга, которые связаны с выполнением работ, при которых необходимо в процессе производственной деятельности различать мелкие объекты, в том числе с использованием оптических увеличительных приборов - луп и микроскопов. Для фиксированного рабочего положения характерна либо полная неподвижность, либо ограниченное количество высокоточных движений, совершаемых с малой амплитудой в ограниченном пространстве.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 вынужденным рабочим положениям работника относятся положения "лежа", "на коленях", "на корточках".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Если по характеру работы рабочие позы работника разные, то отнесение условий труда к классу (подклассу) условий труда при воздействии тяжести трудового процесса с учетом рабочего положения тела работника следует проводить по наиболее типичной рабочей позе для данной работы.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92. Отнесение условий труда к классу (подклассу) условий труда по тяжести трудового процесса с учетом наклонов корпуса тела работника за рабочий день (смену) определяется путем их прямого подсчета в единицу времени (минуту, час). Далее рассчитывается общее число наклонов корпуса тела работника за все время выполнения работы либо определяется их количество за одну операцию и умножается на число операций за рабочий день (смену).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с учетом наклонов корпуса тела работника осуществляется в соответствии с таблицей 6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необходимо учитывать, что при оценке фактора работы с вынужденным наклоном корпуса тела работника более 30° у работника со средними антропометрическими данными подобные наклоны корпуса тела производятся в случае, если он берет какие-либо предметы, поднимает груз или выполняет действия руками на высоте не более 50 см от пола.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93. Отнесение условий труда к классу (подклассу) условий труда по тяжести трудового процесса при перемещении работника в пространстве осуществляется с учетом такого перемещения по горизонтали и (или) вертикали, обусловленного технологическим процессом, в течение рабочего дня (смены) и определяется на основании подсчета количества шагов за рабочий день (смену) и измерения длины шага.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шагов за рабочий день (смену) определяется с помощью шагомера, помещенного в карман работника или закрепленного на его поясе (во время регламентированных перерывов и обеденного перерыва шагомер необходимо выкладывать из кармана работника или снимать с его пояса).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Мужской шаг в производственной обстановке в среднем равняется 0,6 м, а женский - 0,5 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по тяжести трудового процесса при перемещении работника в пространстве осуществляется в соответствии с таблицей 7 приложения N 13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Перемещением работника в пространстве по вертикали необходимо считать его перемещения по лестницам или наклонным поверхностям, угол наклона которых более 30° от горизонтали.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работников, трудовая функция которых связана с перемещением в пространстве как по горизонтали, так и по вертикали, эти расстояния необходимо суммировать и сопоставлять с тем показателем, величина которого была больше.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94. Класс (подкласс) условий труда устанавливается по показателю тяжести трудового процесса, имеющему наиболее высокий класс (подкласс)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95. При наличии двух и более показателей тяжести трудового процесса, условия труда по которым отнесены к подклассу 3.1 или 3.2 вредных условий труда, класс (подкласс) условий труда по тяжести трудового процесса повышается на одну степень.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96. Отнесение условий труда к классу (подклассу) условий труда по напряженности трудового процесса осуществляется по следующим показателям: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плотность сигналов и сообщений (световых, звуковых) в среднем за 1 час работы, поступающих как со специальных устройств (видеотерминалов, сигнальных устройств, шкал приборов), так и при речевом сообщении, в том числе по средствам связи;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число производственных объектов одновременного наблюдения;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работа с оптическими приборами (% времени рабочего дня (смены), в качестве которых используются устройства, используемые в производственном процессе с применением оптических элементов для увеличения размеров рассматриваемого объекта (лупы, микроскопы, дефектоскопы), либо используемые для повышения разрешающей способности прибора или улучшения видимости (бинокли), за исключением различных устройств для отображения информации (дисплеи), в которых оптические элементы не используются (различные индикаторы и шкалы, покрытые стеклянной или прозрачной пластмассовой крышкой);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нагрузка на голосовой аппарат (суммарное количество часов, наговариваемое в неделю);</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монотонность нагрузок (число элементов (приемов), необходимых для реализации простого задания или в многократно повторяющихся операциях; время активных действий; монотонность производственной обстановки).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97. Отнесение условий труда к классу (подклассу) по напряженности трудового процесса осуществляется в соответствии с приложением N 14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98. Отнесение условий труда к классу (подклассу) условий труда по показателю напряженности трудового процесса "плотность сигналов и сообщений в среднем за 1 час работы" осуществляется путем подсчета количества воспринимаемых и передаваемых сигналов (сообщений, распоряжений), которые необходимо учитывать при исполнении трудовой функции, передаваемых либо с использованием графического или текстового носителя, либо их сочетания, либо с устройств для передачи сигналов (знаков).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99. Отнесение условий труда к классу (подклассу) условий труда по показателю напряженности трудового процесса "число производственных объектов одновременного наблюдения" осуществляется путем оценки объема внимания (от 4 до 8 несвязанных объектов) и его распределения (способности одновременно сосредотачивать внимание на нескольких объектах или действиях).</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Условия труда оцениваются по данному показателю только в тех случаях, когда после </w:t>
      </w:r>
      <w:r w:rsidRPr="004F6638">
        <w:rPr>
          <w:rFonts w:ascii="Times New Roman" w:eastAsiaTheme="minorEastAsia" w:hAnsi="Times New Roman" w:cs="Times New Roman"/>
          <w:sz w:val="24"/>
          <w:szCs w:val="24"/>
          <w:lang w:eastAsia="ru-RU"/>
        </w:rPr>
        <w:lastRenderedPageBreak/>
        <w:t>получения информации одновременно от всех объектов наблюдения необходимо выполнение определенных действий по регулированию технологического процесса с распределением внимания.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случае если при выполнении работы информация может быть получена путем последовательного переключения внимания с объекта на объект до наступления момента принятия решения и (или) выполнения действий либо при отсутствии ограничений по времени до момента принятия решения и (или) выполнения действий, что позволяет работнику перейти от распределения к переключению внимания, оценка напряженности трудового процесса по показателю "число производственных объектов одновременного наблюдения" при выполнении таких работ не проводится.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 Отнесение условий труда к классу (подклассу) условий труда по показателю напряженности трудового процесса "работа с оптическими приборами" осуществляется на основе хронометражных наблюдений.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101. Отнесение условий труда к классу (подклассу) условий труда по показателю напряженности трудового процесса "нагрузка на голосовой аппарат" осуществляется с учетом продолжительности речевых нагрузок на основе хронометражных наблюдений или экспертным путем посредством опроса работников и их непосредственных руководителей.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102. Отнесение условий труда к классу (подклассу) условий труда по напряженности трудового процесса при монотонности нагрузок осуществляется с учетом числа элементов (приемов), необходимых для реализации простого задания или многократно повторяющихся операций (единиц), и продолжительности выполнения простых производственных заданий или повторяющихся операций, времени активных действий, монотонности производственной обстановки.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103. Класс (подкласс) условий труда устанавливается по показателю напряженности трудового процесса, имеющему наиболее высокий класс (подкласс)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104. Отнесение условий труда к классу (подклассу) условий труда с учетом комплексного воздействия вредных и (или) опасных факторов осуществляется на основании анализа отнесения данных факторов к тому или иному классу (подклассу) условий труда, выполняемого экспертом.</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105. Итоговый класс (подкласс) условий труда на рабочем месте устанавливают по наиболее высокому классу (подклассу) вредности и (или) опасности одного из имеющихся на рабочем месте вредных и (или) опасных факторов в соответствии с приложением N 15 к настоящей Методике.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в случае: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сочетанного действия 3 и более вредных и (или) опасных факторов, отнесенных к подклассу 3.1 вредных условий труда, итоговый класс (подкласс) условий труда относится к подклассу 3.2 вредных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сочетанного действия 2 и более вредных и (или) опасных факторов, отнесенных к подклассам 3.2, 3.3, 3.4 вредных условий труда, итоговый класс (подкласс) повышается на одну степень.</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Положения настоящего пункта не распространяются на параметры микроклимата и вибрацию локальную в случае, если сочетанное воздействие таких факторов производственной среды было ранее учтено в соответствии с настоящей Методикой.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Если в отношении рабочих мест в соответствии с </w:t>
      </w:r>
      <w:hyperlink r:id="rId150" w:history="1">
        <w:r w:rsidRPr="004F6638">
          <w:rPr>
            <w:rFonts w:ascii="Times New Roman" w:eastAsiaTheme="minorEastAsia" w:hAnsi="Times New Roman" w:cs="Times New Roman"/>
            <w:sz w:val="24"/>
            <w:szCs w:val="24"/>
            <w:u w:val="single"/>
            <w:lang w:eastAsia="ru-RU"/>
          </w:rPr>
          <w:t>перечнем</w:t>
        </w:r>
      </w:hyperlink>
      <w:r w:rsidRPr="004F6638">
        <w:rPr>
          <w:rFonts w:ascii="Times New Roman" w:eastAsiaTheme="minorEastAsia" w:hAnsi="Times New Roman" w:cs="Times New Roman"/>
          <w:sz w:val="24"/>
          <w:szCs w:val="24"/>
          <w:lang w:eastAsia="ru-RU"/>
        </w:rPr>
        <w:t>, утвержденным Правительством Российской Федерации, установлены особенности проведения специальной оценки условий труда &lt;19&gt; итоговый класс (подкласс) условий труда на таких рабочих местах устанавливается с учетом положений указанных особенностей.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&lt;19&gt; Постановление Правительства Российской Федерации </w:t>
      </w:r>
      <w:hyperlink r:id="rId151" w:history="1">
        <w:r w:rsidRPr="004F6638">
          <w:rPr>
            <w:rFonts w:ascii="Times New Roman" w:eastAsiaTheme="minorEastAsia" w:hAnsi="Times New Roman" w:cs="Times New Roman"/>
            <w:sz w:val="24"/>
            <w:szCs w:val="24"/>
            <w:u w:val="single"/>
            <w:lang w:eastAsia="ru-RU"/>
          </w:rPr>
          <w:t>от 14 октября 2022 г. N 1830</w:t>
        </w:r>
      </w:hyperlink>
      <w:r w:rsidRPr="004F6638">
        <w:rPr>
          <w:rFonts w:ascii="Times New Roman" w:eastAsiaTheme="minorEastAsia" w:hAnsi="Times New Roman" w:cs="Times New Roman"/>
          <w:sz w:val="24"/>
          <w:szCs w:val="24"/>
          <w:lang w:eastAsia="ru-RU"/>
        </w:rPr>
        <w:t xml:space="preserve"> "О перечне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 Срок действия до 1 марта 2029 г.</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V. Результаты проведения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106. 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в порядке, установленном Федеральным законом </w:t>
      </w:r>
      <w:hyperlink r:id="rId152"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 &lt;20&gt;.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&lt;20&gt; </w:t>
      </w:r>
      <w:hyperlink r:id="rId153" w:history="1">
        <w:r w:rsidRPr="004F6638">
          <w:rPr>
            <w:rFonts w:ascii="Times New Roman" w:eastAsiaTheme="minorEastAsia" w:hAnsi="Times New Roman" w:cs="Times New Roman"/>
            <w:sz w:val="24"/>
            <w:szCs w:val="24"/>
            <w:u w:val="single"/>
            <w:lang w:eastAsia="ru-RU"/>
          </w:rPr>
          <w:t>Часть 6</w:t>
        </w:r>
      </w:hyperlink>
      <w:r w:rsidRPr="004F6638">
        <w:rPr>
          <w:rFonts w:ascii="Times New Roman" w:eastAsiaTheme="minorEastAsia" w:hAnsi="Times New Roman" w:cs="Times New Roman"/>
          <w:sz w:val="24"/>
          <w:szCs w:val="24"/>
          <w:lang w:eastAsia="ru-RU"/>
        </w:rPr>
        <w:t xml:space="preserve"> статьи 14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107. Результаты проведения специальной оценки условий труда оформляются в виде отчета, титульный лист которого должен содержать идентификационный номер, получаемый в порядке, установленном Федеральным законом </w:t>
      </w:r>
      <w:hyperlink r:id="rId154"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 &lt;21&gt;.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&lt;21&gt; </w:t>
      </w:r>
      <w:hyperlink r:id="rId155" w:history="1">
        <w:r w:rsidRPr="004F6638">
          <w:rPr>
            <w:rFonts w:ascii="Times New Roman" w:eastAsiaTheme="minorEastAsia" w:hAnsi="Times New Roman" w:cs="Times New Roman"/>
            <w:sz w:val="24"/>
            <w:szCs w:val="24"/>
            <w:u w:val="single"/>
            <w:lang w:eastAsia="ru-RU"/>
          </w:rPr>
          <w:t>Часть 1.1</w:t>
        </w:r>
      </w:hyperlink>
      <w:r w:rsidRPr="004F6638">
        <w:rPr>
          <w:rFonts w:ascii="Times New Roman" w:eastAsiaTheme="minorEastAsia" w:hAnsi="Times New Roman" w:cs="Times New Roman"/>
          <w:sz w:val="24"/>
          <w:szCs w:val="24"/>
          <w:lang w:eastAsia="ru-RU"/>
        </w:rPr>
        <w:t xml:space="preserve"> статьи 15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108. Отчет составляется организацией, проводящей специальную оценку условий труда, подписывается всеми членами комиссии и утверждается председателем комиссии в срок не позднее чем тридцать календарных дней со дня его направления работодателю организацией, проводящей специальную оценку условий труда.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109. Работодатель в течение трех рабочих дней со дня утверждения отчета обязан уведомить об этом организацию, проводившую специальную оценку условий труда, любым доступным способом, обеспечивающим возможность подтверждения факта такого уведомления, а также направить в ее адрес копию утвержденного отчета в порядке, установленном </w:t>
      </w:r>
      <w:hyperlink r:id="rId156" w:history="1">
        <w:r w:rsidRPr="004F6638">
          <w:rPr>
            <w:rFonts w:ascii="Times New Roman" w:eastAsiaTheme="minorEastAsia" w:hAnsi="Times New Roman" w:cs="Times New Roman"/>
            <w:sz w:val="24"/>
            <w:szCs w:val="24"/>
            <w:u w:val="single"/>
            <w:lang w:eastAsia="ru-RU"/>
          </w:rPr>
          <w:t>частью 5.1</w:t>
        </w:r>
      </w:hyperlink>
      <w:r w:rsidRPr="004F6638">
        <w:rPr>
          <w:rFonts w:ascii="Times New Roman" w:eastAsiaTheme="minorEastAsia" w:hAnsi="Times New Roman" w:cs="Times New Roman"/>
          <w:sz w:val="24"/>
          <w:szCs w:val="24"/>
          <w:lang w:eastAsia="ru-RU"/>
        </w:rPr>
        <w:t xml:space="preserve"> статьи 15 Федерального закона от 28 декабря 2013 г. N 426-ФЗ "О специальной оценке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110. К отчету прилагаются замечания и возражения работника относительно результатов специальной оценки условий труда, проведенной на его рабочем месте, представленные в </w:t>
      </w:r>
      <w:r w:rsidRPr="004F6638">
        <w:rPr>
          <w:rFonts w:ascii="Times New Roman" w:eastAsiaTheme="minorEastAsia" w:hAnsi="Times New Roman" w:cs="Times New Roman"/>
          <w:sz w:val="24"/>
          <w:szCs w:val="24"/>
          <w:lang w:eastAsia="ru-RU"/>
        </w:rPr>
        <w:lastRenderedPageBreak/>
        <w:t xml:space="preserve">письменном виде в соответствии с </w:t>
      </w:r>
      <w:hyperlink r:id="rId157" w:history="1">
        <w:r w:rsidRPr="004F6638">
          <w:rPr>
            <w:rFonts w:ascii="Times New Roman" w:eastAsiaTheme="minorEastAsia" w:hAnsi="Times New Roman" w:cs="Times New Roman"/>
            <w:sz w:val="24"/>
            <w:szCs w:val="24"/>
            <w:u w:val="single"/>
            <w:lang w:eastAsia="ru-RU"/>
          </w:rPr>
          <w:t>пунктом 4</w:t>
        </w:r>
      </w:hyperlink>
      <w:r w:rsidRPr="004F6638">
        <w:rPr>
          <w:rFonts w:ascii="Times New Roman" w:eastAsiaTheme="minorEastAsia" w:hAnsi="Times New Roman" w:cs="Times New Roman"/>
          <w:sz w:val="24"/>
          <w:szCs w:val="24"/>
          <w:lang w:eastAsia="ru-RU"/>
        </w:rPr>
        <w:t xml:space="preserve"> части 1 статьи 5 Федерального закона от 28 декабря 2013 г. N 426-ФЗ "О специальной оценке условий труда" (при наличии).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ХИМИЧЕСКОГО ФАКТОРА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060"/>
        <w:gridCol w:w="1287"/>
        <w:gridCol w:w="990"/>
        <w:gridCol w:w="990"/>
        <w:gridCol w:w="990"/>
        <w:gridCol w:w="990"/>
        <w:gridCol w:w="990"/>
      </w:tblGrid>
      <w:tr w:rsidR="004F6638" w:rsidRPr="004F6638" w:rsidTr="00DD7974">
        <w:tblPrEx>
          <w:tblCellMar>
            <w:top w:w="0" w:type="dxa"/>
            <w:left w:w="0" w:type="dxa"/>
            <w:bottom w:w="0" w:type="dxa"/>
            <w:right w:w="0" w:type="dxa"/>
          </w:tblCellMar>
        </w:tblPrEx>
        <w:trPr>
          <w:jc w:val="center"/>
        </w:trPr>
        <w:tc>
          <w:tcPr>
            <w:tcW w:w="306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Категории химических веществ</w:t>
            </w:r>
          </w:p>
        </w:tc>
        <w:tc>
          <w:tcPr>
            <w:tcW w:w="594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по соотношению массовой концентрации вредных химических веществ в воздухе рабочей зоны к предельно допустимой концентрации данных веществ (раз)</w:t>
            </w:r>
          </w:p>
        </w:tc>
      </w:tr>
      <w:tr w:rsidR="004F6638" w:rsidRPr="004F6638" w:rsidTr="00DD7974">
        <w:tblPrEx>
          <w:tblCellMar>
            <w:top w:w="0" w:type="dxa"/>
            <w:left w:w="0" w:type="dxa"/>
            <w:bottom w:w="0" w:type="dxa"/>
            <w:right w:w="0" w:type="dxa"/>
          </w:tblCellMar>
        </w:tblPrEx>
        <w:trPr>
          <w:jc w:val="center"/>
        </w:trPr>
        <w:tc>
          <w:tcPr>
            <w:tcW w:w="306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96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306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Вещества 1 - 4 классов опасности, за исключением перечисленных в пунктах 2 - 7 настоящей таблицы</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1,0 - 3,0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1,0 - 3,0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3,0 - 10,0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3,0 - 10,0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10,0 - 15,0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10,0 - 15,0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15,0 - 20,0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Вещества, опасные для развития острого отравления, включая:</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 вещества с остронаправленным механизмом действия,</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 вещества раздражающего действия</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2,0 - 4,0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2,0 - 5,0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4,0 - 6,0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5,0 - 10,0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6,0 - 10,0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10,0 - 50,0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50,0</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Канцерогены, вещества, опасные для репродуктивного здоровья человека</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419100" cy="180975"/>
                  <wp:effectExtent l="0" t="0" r="0"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2,0 - 4,0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4,0 - 10,0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Аллергены, в том числе: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 высокоопасные</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 умеренно опасные</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1,0 - 3,0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2,0 - </w:t>
            </w:r>
            <w:r w:rsidRPr="004F6638">
              <w:rPr>
                <w:rFonts w:ascii="Times New Roman" w:eastAsiaTheme="minorEastAsia" w:hAnsi="Times New Roman" w:cs="Times New Roman"/>
                <w:sz w:val="24"/>
                <w:szCs w:val="24"/>
                <w:lang w:eastAsia="ru-RU"/>
              </w:rPr>
              <w:lastRenderedPageBreak/>
              <w:t>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&gt; 3,0 - 15,0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5,0 - </w:t>
            </w:r>
            <w:r w:rsidRPr="004F6638">
              <w:rPr>
                <w:rFonts w:ascii="Times New Roman" w:eastAsiaTheme="minorEastAsia" w:hAnsi="Times New Roman" w:cs="Times New Roman"/>
                <w:sz w:val="24"/>
                <w:szCs w:val="24"/>
                <w:lang w:eastAsia="ru-RU"/>
              </w:rPr>
              <w:lastRenderedPageBreak/>
              <w:t>15,0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&gt; 15,0 - 20,0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15,0 - </w:t>
            </w:r>
            <w:r w:rsidRPr="004F6638">
              <w:rPr>
                <w:rFonts w:ascii="Times New Roman" w:eastAsiaTheme="minorEastAsia" w:hAnsi="Times New Roman" w:cs="Times New Roman"/>
                <w:sz w:val="24"/>
                <w:szCs w:val="24"/>
                <w:lang w:eastAsia="ru-RU"/>
              </w:rPr>
              <w:lastRenderedPageBreak/>
              <w:t>20,0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&gt; 20,0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20,0</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5. Противоопухолевые лекарственные средства, гормоны (эстрогены)</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Наркотические анальгетики</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0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Ферменты микробного происхождения</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80975"/>
                  <wp:effectExtent l="0" t="0" r="9525"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1,0 - 5,0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2</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БИОЛОГИЧЕСКОГО ФАКТОРА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600"/>
        <w:gridCol w:w="1287"/>
        <w:gridCol w:w="900"/>
        <w:gridCol w:w="900"/>
        <w:gridCol w:w="900"/>
        <w:gridCol w:w="900"/>
        <w:gridCol w:w="900"/>
      </w:tblGrid>
      <w:tr w:rsidR="004F6638" w:rsidRPr="004F6638" w:rsidTr="00DD7974">
        <w:tblPrEx>
          <w:tblCellMar>
            <w:top w:w="0" w:type="dxa"/>
            <w:left w:w="0" w:type="dxa"/>
            <w:bottom w:w="0" w:type="dxa"/>
            <w:right w:w="0" w:type="dxa"/>
          </w:tblCellMar>
        </w:tblPrEx>
        <w:trPr>
          <w:jc w:val="center"/>
        </w:trPr>
        <w:tc>
          <w:tcPr>
            <w:tcW w:w="36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биологического фактора</w:t>
            </w:r>
          </w:p>
        </w:tc>
        <w:tc>
          <w:tcPr>
            <w:tcW w:w="540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w:t>
            </w:r>
          </w:p>
        </w:tc>
      </w:tr>
      <w:tr w:rsidR="004F6638" w:rsidRPr="004F6638" w:rsidTr="00DD7974">
        <w:tblPrEx>
          <w:tblCellMar>
            <w:top w:w="0" w:type="dxa"/>
            <w:left w:w="0" w:type="dxa"/>
            <w:bottom w:w="0" w:type="dxa"/>
            <w:right w:w="0" w:type="dxa"/>
          </w:tblCellMar>
        </w:tblPrEx>
        <w:trPr>
          <w:jc w:val="center"/>
        </w:trPr>
        <w:tc>
          <w:tcPr>
            <w:tcW w:w="36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36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Микроорганизмы-продуценты, живые клетки и споры, содержащиеся в бактериальных препаратах</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ПДК</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1,0 - 10,0 ПДК</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10,0 - 100,0 ПДК</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 ПДК</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Патогенные микроорганизмы, в том числе:</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группа патогенности - возбудители особо опасных инфекций</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 группа патогенности - возбудители высоконтагиозных эпидемических заболеваний человека</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III группа патогенности - возбудители инфекционных болезней, выделяемые в самостоятельные нозологические </w:t>
            </w:r>
            <w:r w:rsidRPr="004F6638">
              <w:rPr>
                <w:rFonts w:ascii="Times New Roman" w:eastAsiaTheme="minorEastAsia" w:hAnsi="Times New Roman" w:cs="Times New Roman"/>
                <w:sz w:val="24"/>
                <w:szCs w:val="24"/>
                <w:lang w:eastAsia="ru-RU"/>
              </w:rPr>
              <w:lastRenderedPageBreak/>
              <w:t>группы</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IV группа патогенности - условно-патогенные микроорганизмы (возбудители оппортунистических инфекций)</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3</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АЭРОЗОЛЕЙ ПРЕИМУЩЕСТВЕННО ФИБРОГЕННОГО ДЕЙСТВИЯ</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700"/>
        <w:gridCol w:w="1287"/>
        <w:gridCol w:w="1260"/>
        <w:gridCol w:w="1260"/>
        <w:gridCol w:w="1260"/>
        <w:gridCol w:w="1260"/>
      </w:tblGrid>
      <w:tr w:rsidR="004F6638" w:rsidRPr="004F6638" w:rsidTr="00DD7974">
        <w:tblPrEx>
          <w:tblCellMar>
            <w:top w:w="0" w:type="dxa"/>
            <w:left w:w="0" w:type="dxa"/>
            <w:bottom w:w="0" w:type="dxa"/>
            <w:right w:w="0" w:type="dxa"/>
          </w:tblCellMar>
        </w:tblPrEx>
        <w:trPr>
          <w:jc w:val="center"/>
        </w:trPr>
        <w:tc>
          <w:tcPr>
            <w:tcW w:w="27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Вид аэрозолей преимущественно фиброгенного действия</w:t>
            </w:r>
          </w:p>
        </w:tc>
        <w:tc>
          <w:tcPr>
            <w:tcW w:w="63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относительно превышения фактической концентрации аэрозолей преимущественно фиброгенного действия в воздухе рабочей зоны над предельно допустимой концентрацией данных веществ (раз)</w:t>
            </w:r>
          </w:p>
        </w:tc>
      </w:tr>
      <w:tr w:rsidR="004F6638" w:rsidRPr="004F6638" w:rsidTr="00DD7974">
        <w:tblPrEx>
          <w:tblCellMar>
            <w:top w:w="0" w:type="dxa"/>
            <w:left w:w="0" w:type="dxa"/>
            <w:bottom w:w="0" w:type="dxa"/>
            <w:right w:w="0" w:type="dxa"/>
          </w:tblCellMar>
        </w:tblPrEx>
        <w:trPr>
          <w:jc w:val="center"/>
        </w:trPr>
        <w:tc>
          <w:tcPr>
            <w:tcW w:w="27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504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27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r>
      <w:tr w:rsidR="004F6638" w:rsidRPr="004F6638" w:rsidTr="00DD7974">
        <w:tblPrEx>
          <w:tblCellMar>
            <w:top w:w="0" w:type="dxa"/>
            <w:left w:w="0" w:type="dxa"/>
            <w:bottom w:w="0" w:type="dxa"/>
            <w:right w:w="0" w:type="dxa"/>
          </w:tblCellMar>
        </w:tblPrEx>
        <w:trPr>
          <w:jc w:val="center"/>
        </w:trPr>
        <w:tc>
          <w:tcPr>
            <w:tcW w:w="2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Высоко- и умеренно фиброгенные аэрозоли преимущественно фиброгенного действия; пыль, содержащая природные и искусственные минеральные волокна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ПДК,</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905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2,0 - 4,0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4,0 - 10,0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w:t>
            </w:r>
          </w:p>
        </w:tc>
      </w:tr>
      <w:tr w:rsidR="004F6638" w:rsidRPr="004F6638" w:rsidTr="00DD7974">
        <w:tblPrEx>
          <w:tblCellMar>
            <w:top w:w="0" w:type="dxa"/>
            <w:left w:w="0" w:type="dxa"/>
            <w:bottom w:w="0" w:type="dxa"/>
            <w:right w:w="0" w:type="dxa"/>
          </w:tblCellMar>
        </w:tblPrEx>
        <w:trPr>
          <w:jc w:val="center"/>
        </w:trPr>
        <w:tc>
          <w:tcPr>
            <w:tcW w:w="2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Слабофибро-генные аэрозоли преимущественно фиброгенного действия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ПДК,</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542925" cy="190500"/>
                  <wp:effectExtent l="0" t="0" r="9525"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1,0 - 3,0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3,0 - 6,0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6,0 - 10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4</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lastRenderedPageBreak/>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ВИБРОАКУСТИЧЕСКИХ ФАКТОРОВ</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1</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955"/>
        <w:gridCol w:w="1287"/>
        <w:gridCol w:w="1286"/>
        <w:gridCol w:w="1286"/>
        <w:gridCol w:w="1286"/>
        <w:gridCol w:w="1285"/>
        <w:gridCol w:w="1285"/>
      </w:tblGrid>
      <w:tr w:rsidR="004F6638" w:rsidRPr="004F6638" w:rsidTr="00DD7974">
        <w:tblPrEx>
          <w:tblCellMar>
            <w:top w:w="0" w:type="dxa"/>
            <w:left w:w="0" w:type="dxa"/>
            <w:bottom w:w="0" w:type="dxa"/>
            <w:right w:w="0" w:type="dxa"/>
          </w:tblCellMar>
        </w:tblPrEx>
        <w:trPr>
          <w:jc w:val="center"/>
        </w:trPr>
        <w:tc>
          <w:tcPr>
            <w:tcW w:w="1286"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 единица измерения</w:t>
            </w:r>
          </w:p>
        </w:tc>
        <w:tc>
          <w:tcPr>
            <w:tcW w:w="7714"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5143"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 эквивалентный уровень звука, дБА</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80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80 - 85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85 - 95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95 - 105</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105 - 115</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115</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 эквивалентный корректированный уровень виброускорения, дБ</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126</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126 - 129</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129 - 132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132 - 135</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135 - 138</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138</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 эквивалентный корректированный уровень виброускорения, дБ, Z</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115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115 - 121</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121 - 127</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127 - 133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133 - 139</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139</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 эквивалентный корректированный уровень виброускорения, дБ, X, Y</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112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112 - 118</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118 - 124</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124 - 130</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130 - 136</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136</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 общий уровень звукового давления, дБЛин</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110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110 - 115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115 - 120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120 - 125</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125 - 130</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130</w:t>
            </w:r>
          </w:p>
        </w:tc>
      </w:tr>
      <w:tr w:rsidR="004F6638" w:rsidRPr="004F6638" w:rsidTr="00DD7974">
        <w:tblPrEx>
          <w:tblCellMar>
            <w:top w:w="0" w:type="dxa"/>
            <w:left w:w="0" w:type="dxa"/>
            <w:bottom w:w="0" w:type="dxa"/>
            <w:right w:w="0" w:type="dxa"/>
          </w:tblCellMar>
        </w:tblPrEx>
        <w:trPr>
          <w:jc w:val="center"/>
        </w:trPr>
        <w:tc>
          <w:tcPr>
            <w:tcW w:w="1286"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Ультразвук </w:t>
            </w:r>
            <w:r w:rsidRPr="004F6638">
              <w:rPr>
                <w:rFonts w:ascii="Times New Roman" w:eastAsiaTheme="minorEastAsia" w:hAnsi="Times New Roman" w:cs="Times New Roman"/>
                <w:sz w:val="24"/>
                <w:szCs w:val="24"/>
                <w:lang w:eastAsia="ru-RU"/>
              </w:rPr>
              <w:lastRenderedPageBreak/>
              <w:t>воздушный, уровни звукового давления в 1/3 октавных полосах частот, дБ</w:t>
            </w:r>
          </w:p>
        </w:tc>
        <w:tc>
          <w:tcPr>
            <w:tcW w:w="7714"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превышение ПДУ до _____ дБ</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30</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2</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звукового давления, звука и эквивалентного уровня звука на рабочих местах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14"/>
        <w:gridCol w:w="735"/>
        <w:gridCol w:w="695"/>
        <w:gridCol w:w="721"/>
        <w:gridCol w:w="721"/>
        <w:gridCol w:w="721"/>
        <w:gridCol w:w="748"/>
        <w:gridCol w:w="748"/>
        <w:gridCol w:w="748"/>
        <w:gridCol w:w="748"/>
        <w:gridCol w:w="1574"/>
      </w:tblGrid>
      <w:tr w:rsidR="004F6638" w:rsidRPr="004F6638" w:rsidTr="00DD7974">
        <w:tblPrEx>
          <w:tblCellMar>
            <w:top w:w="0" w:type="dxa"/>
            <w:left w:w="0" w:type="dxa"/>
            <w:bottom w:w="0" w:type="dxa"/>
            <w:right w:w="0" w:type="dxa"/>
          </w:tblCellMar>
        </w:tblPrEx>
        <w:trPr>
          <w:jc w:val="center"/>
        </w:trPr>
        <w:tc>
          <w:tcPr>
            <w:tcW w:w="819"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7363" w:type="dxa"/>
            <w:gridSpan w:val="9"/>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Уровни звукового давления, дБ, в октавных полосах со среднегеометрическими частотами, Гц</w:t>
            </w:r>
          </w:p>
        </w:tc>
        <w:tc>
          <w:tcPr>
            <w:tcW w:w="818"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Уровень звука и эквивалентный уровень звука, дБА</w:t>
            </w:r>
          </w:p>
        </w:tc>
      </w:tr>
      <w:tr w:rsidR="004F6638" w:rsidRPr="004F6638" w:rsidTr="00DD7974">
        <w:tblPrEx>
          <w:tblCellMar>
            <w:top w:w="0" w:type="dxa"/>
            <w:left w:w="0" w:type="dxa"/>
            <w:bottom w:w="0" w:type="dxa"/>
            <w:right w:w="0" w:type="dxa"/>
          </w:tblCellMar>
        </w:tblPrEx>
        <w:trPr>
          <w:jc w:val="center"/>
        </w:trPr>
        <w:tc>
          <w:tcPr>
            <w:tcW w:w="819"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819"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31,5</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63</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250</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1000</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2000</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4000</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8000</w:t>
            </w:r>
          </w:p>
        </w:tc>
        <w:tc>
          <w:tcPr>
            <w:tcW w:w="818"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819"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Выполнение всех видов работ на рабочих местах</w:t>
            </w:r>
          </w:p>
        </w:tc>
        <w:tc>
          <w:tcPr>
            <w:tcW w:w="819"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95</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87</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82</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78</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75</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73</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71</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69</w:t>
            </w:r>
          </w:p>
        </w:tc>
        <w:tc>
          <w:tcPr>
            <w:tcW w:w="81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3</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виброускорения вибрации локальной на рабочих местах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15"/>
        <w:gridCol w:w="767"/>
        <w:gridCol w:w="767"/>
        <w:gridCol w:w="782"/>
        <w:gridCol w:w="767"/>
        <w:gridCol w:w="767"/>
        <w:gridCol w:w="767"/>
        <w:gridCol w:w="767"/>
        <w:gridCol w:w="797"/>
        <w:gridCol w:w="1977"/>
      </w:tblGrid>
      <w:tr w:rsidR="004F6638" w:rsidRPr="004F6638" w:rsidTr="00DD7974">
        <w:tblPrEx>
          <w:tblCellMar>
            <w:top w:w="0" w:type="dxa"/>
            <w:left w:w="0" w:type="dxa"/>
            <w:bottom w:w="0" w:type="dxa"/>
            <w:right w:w="0" w:type="dxa"/>
          </w:tblCellMar>
        </w:tblPrEx>
        <w:trPr>
          <w:jc w:val="center"/>
        </w:trPr>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7200" w:type="dxa"/>
            <w:gridSpan w:val="8"/>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виброускорения, дБ, по осям Хл, Yл, Zл в октавных полосах со среднегеометрическими частотами, Гц</w:t>
            </w:r>
          </w:p>
        </w:tc>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Корректированные и эквивалентные корректированные значения и их уровни</w:t>
            </w:r>
          </w:p>
        </w:tc>
      </w:tr>
      <w:tr w:rsidR="004F6638" w:rsidRPr="004F6638" w:rsidTr="00DD7974">
        <w:tblPrEx>
          <w:tblCellMar>
            <w:top w:w="0" w:type="dxa"/>
            <w:left w:w="0" w:type="dxa"/>
            <w:bottom w:w="0" w:type="dxa"/>
            <w:right w:w="0" w:type="dxa"/>
          </w:tblCellMar>
        </w:tblPrEx>
        <w:trPr>
          <w:jc w:val="center"/>
        </w:trPr>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31,5</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250</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1000</w:t>
            </w:r>
          </w:p>
        </w:tc>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129</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135</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141</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147</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159</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126</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4</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виброускорения вибрации общей на рабочих местах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381"/>
        <w:gridCol w:w="1800"/>
        <w:gridCol w:w="1800"/>
        <w:gridCol w:w="1800"/>
        <w:gridCol w:w="1800"/>
      </w:tblGrid>
      <w:tr w:rsidR="004F6638" w:rsidRPr="004F6638" w:rsidTr="00DD7974">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Среднегеометрические частоты, Гц</w:t>
            </w:r>
          </w:p>
        </w:tc>
        <w:tc>
          <w:tcPr>
            <w:tcW w:w="72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Предельно допустимые уровни виброускорения, дБ, по осям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в октавных или 1/3 октавных полосах частот</w:t>
            </w:r>
          </w:p>
        </w:tc>
      </w:tr>
      <w:tr w:rsidR="004F6638" w:rsidRPr="004F6638" w:rsidTr="00DD7974">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6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1/3 октаве</w:t>
            </w:r>
          </w:p>
        </w:tc>
        <w:tc>
          <w:tcPr>
            <w:tcW w:w="36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1/1 октаве</w:t>
            </w:r>
          </w:p>
        </w:tc>
      </w:tr>
      <w:tr w:rsidR="004F6638" w:rsidRPr="004F6638" w:rsidTr="00DD7974">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w:t>
            </w:r>
            <w:r w:rsidRPr="004F6638">
              <w:rPr>
                <w:rFonts w:ascii="Times New Roman" w:eastAsiaTheme="minorEastAsia" w:hAnsi="Times New Roman" w:cs="Times New Roman"/>
                <w:noProof/>
                <w:sz w:val="24"/>
                <w:szCs w:val="24"/>
                <w:lang w:eastAsia="ru-RU"/>
              </w:rPr>
              <w:drawing>
                <wp:inline distT="0" distB="0" distL="0" distR="0">
                  <wp:extent cx="180975" cy="180975"/>
                  <wp:effectExtent l="0" t="0" r="9525"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0,8</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116</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112</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114</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118</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113</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112</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109</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118</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119</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116</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124</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112</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114</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116</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130</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118</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129</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122</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136</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124</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126</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63,0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128</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137</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133</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142</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139</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5400" w:type="dxa"/>
            <w:gridSpan w:val="3"/>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Корректированные и эквивалентные корректированные уровни виброускорения при общей вибрации на рабочих местах</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115</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112</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5</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инфразвука на рабочих местах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880"/>
        <w:gridCol w:w="810"/>
        <w:gridCol w:w="810"/>
        <w:gridCol w:w="810"/>
        <w:gridCol w:w="810"/>
        <w:gridCol w:w="1350"/>
        <w:gridCol w:w="1593"/>
      </w:tblGrid>
      <w:tr w:rsidR="004F6638" w:rsidRPr="004F6638" w:rsidTr="00DD7974">
        <w:tblPrEx>
          <w:tblCellMar>
            <w:top w:w="0" w:type="dxa"/>
            <w:left w:w="0" w:type="dxa"/>
            <w:bottom w:w="0" w:type="dxa"/>
            <w:right w:w="0" w:type="dxa"/>
          </w:tblCellMar>
        </w:tblPrEx>
        <w:trPr>
          <w:jc w:val="center"/>
        </w:trPr>
        <w:tc>
          <w:tcPr>
            <w:tcW w:w="28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324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Уровни звукового давления, дБ в октавных полосах со среднегеометрическими частотами, Гц</w:t>
            </w:r>
          </w:p>
        </w:tc>
        <w:tc>
          <w:tcPr>
            <w:tcW w:w="13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Общий уровень звукового давления, дБЛин</w:t>
            </w:r>
          </w:p>
        </w:tc>
        <w:tc>
          <w:tcPr>
            <w:tcW w:w="153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Максимальный текущий общий уровень инфразвука, дБ</w:t>
            </w:r>
          </w:p>
        </w:tc>
      </w:tr>
      <w:tr w:rsidR="004F6638" w:rsidRPr="004F6638" w:rsidTr="00DD7974">
        <w:tblPrEx>
          <w:tblCellMar>
            <w:top w:w="0" w:type="dxa"/>
            <w:left w:w="0" w:type="dxa"/>
            <w:bottom w:w="0" w:type="dxa"/>
            <w:right w:w="0" w:type="dxa"/>
          </w:tblCellMar>
        </w:tblPrEx>
        <w:trPr>
          <w:jc w:val="center"/>
        </w:trPr>
        <w:tc>
          <w:tcPr>
            <w:tcW w:w="28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13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53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Выполнение всех видов работ на рабочих местах</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105</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w:t>
            </w:r>
          </w:p>
        </w:tc>
        <w:tc>
          <w:tcPr>
            <w:tcW w:w="8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95</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w:t>
            </w:r>
          </w:p>
        </w:tc>
        <w:tc>
          <w:tcPr>
            <w:tcW w:w="15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r>
      <w:tr w:rsidR="004F6638" w:rsidRPr="004F6638" w:rsidTr="00DD7974">
        <w:tblPrEx>
          <w:tblCellMar>
            <w:top w:w="0" w:type="dxa"/>
            <w:left w:w="0" w:type="dxa"/>
            <w:bottom w:w="0" w:type="dxa"/>
            <w:right w:w="0" w:type="dxa"/>
          </w:tblCellMar>
        </w:tblPrEx>
        <w:trPr>
          <w:jc w:val="center"/>
        </w:trPr>
        <w:tc>
          <w:tcPr>
            <w:tcW w:w="9000" w:type="dxa"/>
            <w:gridSpan w:val="7"/>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колеблющегося во времени и прерывистого инфразвука уровни звукового давления, измеренные по шкале шумомера "Лин", не должны превышать 120 дБ</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6</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Предельно допустимые уровни воздушного ультразвука на рабочих местах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700"/>
        <w:gridCol w:w="630"/>
        <w:gridCol w:w="630"/>
        <w:gridCol w:w="630"/>
        <w:gridCol w:w="630"/>
        <w:gridCol w:w="630"/>
        <w:gridCol w:w="630"/>
        <w:gridCol w:w="630"/>
        <w:gridCol w:w="630"/>
        <w:gridCol w:w="630"/>
        <w:gridCol w:w="630"/>
      </w:tblGrid>
      <w:tr w:rsidR="004F6638" w:rsidRPr="004F6638" w:rsidTr="00DD7974">
        <w:tblPrEx>
          <w:tblCellMar>
            <w:top w:w="0" w:type="dxa"/>
            <w:left w:w="0" w:type="dxa"/>
            <w:bottom w:w="0" w:type="dxa"/>
            <w:right w:w="0" w:type="dxa"/>
          </w:tblCellMar>
        </w:tblPrEx>
        <w:trPr>
          <w:jc w:val="center"/>
        </w:trPr>
        <w:tc>
          <w:tcPr>
            <w:tcW w:w="27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6300" w:type="dxa"/>
            <w:gridSpan w:val="10"/>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Уровни звукового давления, дБ, в третьоктавных полосах со </w:t>
            </w:r>
            <w:r w:rsidRPr="004F6638">
              <w:rPr>
                <w:rFonts w:ascii="Times New Roman" w:eastAsiaTheme="minorEastAsia" w:hAnsi="Times New Roman" w:cs="Times New Roman"/>
                <w:sz w:val="24"/>
                <w:szCs w:val="24"/>
                <w:lang w:eastAsia="ru-RU"/>
              </w:rPr>
              <w:lastRenderedPageBreak/>
              <w:t>среднегеометрическими частотами, кГц</w:t>
            </w:r>
          </w:p>
        </w:tc>
      </w:tr>
      <w:tr w:rsidR="004F6638" w:rsidRPr="004F6638" w:rsidTr="00DD7974">
        <w:tblPrEx>
          <w:tblCellMar>
            <w:top w:w="0" w:type="dxa"/>
            <w:left w:w="0" w:type="dxa"/>
            <w:bottom w:w="0" w:type="dxa"/>
            <w:right w:w="0" w:type="dxa"/>
          </w:tblCellMar>
        </w:tblPrEx>
        <w:trPr>
          <w:jc w:val="center"/>
        </w:trPr>
        <w:tc>
          <w:tcPr>
            <w:tcW w:w="27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12,5</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31,5</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63</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w:t>
            </w:r>
          </w:p>
        </w:tc>
      </w:tr>
      <w:tr w:rsidR="004F6638" w:rsidRPr="004F6638" w:rsidTr="00DD7974">
        <w:tblPrEx>
          <w:tblCellMar>
            <w:top w:w="0" w:type="dxa"/>
            <w:left w:w="0" w:type="dxa"/>
            <w:bottom w:w="0" w:type="dxa"/>
            <w:right w:w="0" w:type="dxa"/>
          </w:tblCellMar>
        </w:tblPrEx>
        <w:trPr>
          <w:jc w:val="center"/>
        </w:trPr>
        <w:tc>
          <w:tcPr>
            <w:tcW w:w="2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105</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c>
          <w:tcPr>
            <w:tcW w:w="6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5</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ПАРАМЕТРОВ МИКРОКЛИМАТА ПРИ РАБОТЕ В ПРОИЗВОДСТВЕННОМ ПОМЕЩЕНИИ (РАБОЧЕЙ ЗОНЕ) С НАГРЕВАЮЩИМ МИКРОКЛИМАТОМ</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720"/>
        <w:gridCol w:w="1071"/>
        <w:gridCol w:w="1403"/>
        <w:gridCol w:w="1287"/>
        <w:gridCol w:w="808"/>
        <w:gridCol w:w="808"/>
        <w:gridCol w:w="808"/>
        <w:gridCol w:w="808"/>
        <w:gridCol w:w="960"/>
      </w:tblGrid>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Показатель</w:t>
            </w:r>
          </w:p>
        </w:tc>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Категория работ</w:t>
            </w:r>
          </w:p>
        </w:tc>
        <w:tc>
          <w:tcPr>
            <w:tcW w:w="7000" w:type="dxa"/>
            <w:gridSpan w:val="7"/>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Температура воздуха, °C</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22,0 - 24,0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24,1 - 25,0</w:t>
            </w:r>
          </w:p>
        </w:tc>
        <w:tc>
          <w:tcPr>
            <w:tcW w:w="5000" w:type="dxa"/>
            <w:gridSpan w:val="5"/>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Определяется величиной ТНС-индекса (в соответствии с приложением N 6 к настоящей Методике.</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I6</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21,0 - 23,0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23,1 - 24,0</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19,0 - 21,0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21,1 - 23,0</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IIб</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17,0 - 19,0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19,1 - 22,0</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16,0 - 18,0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18,1 - 21,0</w:t>
            </w:r>
          </w:p>
        </w:tc>
        <w:tc>
          <w:tcPr>
            <w:tcW w:w="5000" w:type="dxa"/>
            <w:gridSpan w:val="5"/>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Скорость движения воздуха, м/с</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5000" w:type="dxa"/>
            <w:gridSpan w:val="5"/>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Учитывается при определении ТНС-индекса. При скорости движения воздуха, большей или равной 0,6 м/с, условия труда признаются вредными условиями труда (подкласс 3.1).</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I6</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0,3</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IIб</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0,4</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0,3</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0,4</w:t>
            </w:r>
          </w:p>
        </w:tc>
        <w:tc>
          <w:tcPr>
            <w:tcW w:w="5000" w:type="dxa"/>
            <w:gridSpan w:val="5"/>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Влажность воздуха, %</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60 - 40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15 - &lt; 40;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60 - 75</w:t>
            </w:r>
          </w:p>
        </w:tc>
        <w:tc>
          <w:tcPr>
            <w:tcW w:w="5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Учитывается при определении ТНС-индекса. При влажности воздуха &lt;15 - 10% условия труда признаются вредными условиями труда (подкласс 3.1);</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при влажности воздуха &lt; 10% условия </w:t>
            </w:r>
            <w:r w:rsidRPr="004F6638">
              <w:rPr>
                <w:rFonts w:ascii="Times New Roman" w:eastAsiaTheme="minorEastAsia" w:hAnsi="Times New Roman" w:cs="Times New Roman"/>
                <w:sz w:val="24"/>
                <w:szCs w:val="24"/>
                <w:lang w:eastAsia="ru-RU"/>
              </w:rPr>
              <w:lastRenderedPageBreak/>
              <w:t>труда признаются вредными условиями труда (подкласс 3.2)</w:t>
            </w: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Интенсивность теплового излучения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Вт/м2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141 - 1500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1501 - 2000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2001 - 2500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2501 - 2800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2800</w:t>
            </w: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Экспозиционная доза теплового облучения, Вт · ч</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4800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6</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В ЗАВИСИМОСТИ ОТ ВЕЛИЧИНЫ ТНС-ИНДЕКСА (°C) ДЛЯ ПРОИЗВОДСТВЕННЫХ ПОМЕЩЕНИЙ (РАБОЧИХ ЗОН) С НАГРЕВАЮЩИМ МИКРОКЛИМАТОМ</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286"/>
        <w:gridCol w:w="1287"/>
        <w:gridCol w:w="1286"/>
        <w:gridCol w:w="1286"/>
        <w:gridCol w:w="1286"/>
        <w:gridCol w:w="1285"/>
        <w:gridCol w:w="1285"/>
      </w:tblGrid>
      <w:tr w:rsidR="004F6638" w:rsidRPr="004F6638" w:rsidTr="00DD7974">
        <w:tblPrEx>
          <w:tblCellMar>
            <w:top w:w="0" w:type="dxa"/>
            <w:left w:w="0" w:type="dxa"/>
            <w:bottom w:w="0" w:type="dxa"/>
            <w:right w:w="0" w:type="dxa"/>
          </w:tblCellMar>
        </w:tblPrEx>
        <w:trPr>
          <w:jc w:val="center"/>
        </w:trPr>
        <w:tc>
          <w:tcPr>
            <w:tcW w:w="1286"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Категория работ</w:t>
            </w:r>
          </w:p>
        </w:tc>
        <w:tc>
          <w:tcPr>
            <w:tcW w:w="7714"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5143"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5143"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28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28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Iа</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26,5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26,5 - 26,6</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26,7 - 27,4</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27,5 - 28,6</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28,7 - 31,0</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31,0</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I6</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25,9</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25,9-26,1</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26,2 - 26,9</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27,0 - 27,9</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28,0 - 30,3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30,3</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IIа</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25,2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25,2 - 25,5</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25,6 - 26,2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26,3 - 27,3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27,4 - 29,9</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29,9</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IIб</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24,0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24,0 - 24,2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24,3 - 25,0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25,1 - 26,4</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26,5 - 29,1</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29,1</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III</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21,9</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21,9 - 22,0</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22,1 - 23,4</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23,5 - 25,7</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25,8 - 27,9</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27,9</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7</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lastRenderedPageBreak/>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ПАРАМЕТРОВ МИКРОКЛИМАТА ПРИ РАБОТЕ В ПРОИЗВОДСТВЕННОМ ПОМЕЩЕНИИ (РАБОЧЕЙ ЗОНЕ) С ОХЛАЖДАЮЩИМ МИКРОКЛИМАТОМ</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720"/>
        <w:gridCol w:w="1071"/>
        <w:gridCol w:w="1403"/>
        <w:gridCol w:w="1287"/>
        <w:gridCol w:w="808"/>
        <w:gridCol w:w="808"/>
        <w:gridCol w:w="808"/>
        <w:gridCol w:w="808"/>
        <w:gridCol w:w="960"/>
      </w:tblGrid>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Показатель</w:t>
            </w:r>
          </w:p>
        </w:tc>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Категория работ</w:t>
            </w:r>
          </w:p>
        </w:tc>
        <w:tc>
          <w:tcPr>
            <w:tcW w:w="7000" w:type="dxa"/>
            <w:gridSpan w:val="7"/>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условий труда</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4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Температура воздуха, °C</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22,0 - 24,0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21,9 - 20,0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19,9 - 18,0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17,9 - 16,0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15,9 - 14,0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13,9 - 12,0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12,0</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I6</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21,0 - 23,0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20,9 - 19,0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18,9 - 7,0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16,9 - 15,0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14,9 - 13,0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12,9 - 11,0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11,0</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19,0 - 21,0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18,9 - 17,0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16,9 - 14,0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13,9 - 12,0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11,9 - 10,0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9,9 - 8,0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8,0</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IIб</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17,0 - 19,0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16,9 - 15,0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14,9 - 13,0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12,9 - 11,0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10,9 - 9,0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8,9 - 7,0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7,0</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16,0 - 18,0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15,9 - 13,0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12,9 - 12,0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11,9 - 10,0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9,9 - 8,0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7,9 - 6,0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6,0</w:t>
            </w:r>
          </w:p>
        </w:tc>
      </w:tr>
      <w:tr w:rsidR="004F6638" w:rsidRPr="004F6638" w:rsidTr="00DD7974">
        <w:tblPrEx>
          <w:tblCellMar>
            <w:top w:w="0" w:type="dxa"/>
            <w:left w:w="0" w:type="dxa"/>
            <w:bottom w:w="0" w:type="dxa"/>
            <w:right w:w="0" w:type="dxa"/>
          </w:tblCellMar>
        </w:tblPrEx>
        <w:trPr>
          <w:jc w:val="center"/>
        </w:trPr>
        <w:tc>
          <w:tcPr>
            <w:tcW w:w="10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Скорость движения воздуха, м/с</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5000" w:type="dxa"/>
            <w:gridSpan w:val="5"/>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Учитывается в температурной поправке на охлаждающее действие ветра. При скорости движения воздуха, большей или равной 0,6 м/с, условия труда признаются вредными для всех категорий работ</w:t>
            </w: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Iб</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IIа</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0,1</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IIб</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5000" w:type="dxa"/>
            <w:gridSpan w:val="5"/>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0,3</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0,2</w:t>
            </w:r>
          </w:p>
        </w:tc>
        <w:tc>
          <w:tcPr>
            <w:tcW w:w="5000" w:type="dxa"/>
            <w:gridSpan w:val="5"/>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Влажность воздуха, %</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60 - 40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15 - &lt;40;</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60 - 75</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&lt;15 - 10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 10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Интенсивность теплового излучения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Вт,м2</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&lt;140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141 - 1500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1501 - 2000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2001 - 2500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2501 - 2800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2800</w:t>
            </w:r>
          </w:p>
        </w:tc>
      </w:tr>
      <w:tr w:rsidR="004F6638" w:rsidRPr="004F6638" w:rsidTr="00DD7974">
        <w:tblPrEx>
          <w:tblCellMar>
            <w:top w:w="0" w:type="dxa"/>
            <w:left w:w="0" w:type="dxa"/>
            <w:bottom w:w="0" w:type="dxa"/>
            <w:right w:w="0" w:type="dxa"/>
          </w:tblCellMar>
        </w:tblPrEx>
        <w:trPr>
          <w:jc w:val="center"/>
        </w:trPr>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Экспозиционная доза теплового облучения ДЭО, </w:t>
            </w:r>
            <w:r w:rsidRPr="004F6638">
              <w:rPr>
                <w:rFonts w:ascii="Times New Roman" w:eastAsiaTheme="minorEastAsia" w:hAnsi="Times New Roman" w:cs="Times New Roman"/>
                <w:sz w:val="24"/>
                <w:szCs w:val="24"/>
                <w:lang w:eastAsia="ru-RU"/>
              </w:rPr>
              <w:lastRenderedPageBreak/>
              <w:t>Вт · ч</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I - III</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4800</w:t>
            </w:r>
          </w:p>
        </w:tc>
        <w:tc>
          <w:tcPr>
            <w:tcW w:w="1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4800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8</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БАЛЛЬНАЯ ОЦЕНКА УСЛОВИЙ ТРУДА НА РАБОЧЕМ МЕСТЕ ПО ФАКТОРУ МИКРОКЛИМАТА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4500"/>
        <w:gridCol w:w="4500"/>
      </w:tblGrid>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баллов (величина УТ), рассчитанных в соответствии с пунктом 65 настоящей Методики</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r>
      <w:tr w:rsidR="004F6638" w:rsidRPr="004F6638" w:rsidTr="00DD7974">
        <w:tblPrEx>
          <w:tblCellMar>
            <w:top w:w="0" w:type="dxa"/>
            <w:left w:w="0" w:type="dxa"/>
            <w:bottom w:w="0" w:type="dxa"/>
            <w:right w:w="0" w:type="dxa"/>
          </w:tblCellMar>
        </w:tblPrEx>
        <w:trPr>
          <w:jc w:val="center"/>
        </w:trPr>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4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9</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СВЕТОВОЙ СРЕДЫ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600"/>
        <w:gridCol w:w="1800"/>
        <w:gridCol w:w="1800"/>
        <w:gridCol w:w="1800"/>
      </w:tblGrid>
      <w:tr w:rsidR="004F6638" w:rsidRPr="004F6638" w:rsidTr="00DD7974">
        <w:tblPrEx>
          <w:tblCellMar>
            <w:top w:w="0" w:type="dxa"/>
            <w:left w:w="0" w:type="dxa"/>
            <w:bottom w:w="0" w:type="dxa"/>
            <w:right w:w="0" w:type="dxa"/>
          </w:tblCellMar>
        </w:tblPrEx>
        <w:trPr>
          <w:jc w:val="center"/>
        </w:trPr>
        <w:tc>
          <w:tcPr>
            <w:tcW w:w="36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5400" w:type="dxa"/>
            <w:gridSpan w:val="3"/>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36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36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Искусственное освещение</w:t>
            </w:r>
          </w:p>
        </w:tc>
      </w:tr>
      <w:tr w:rsidR="004F6638" w:rsidRPr="004F6638" w:rsidTr="00DD7974">
        <w:tblPrEx>
          <w:tblCellMar>
            <w:top w:w="0" w:type="dxa"/>
            <w:left w:w="0" w:type="dxa"/>
            <w:bottom w:w="0" w:type="dxa"/>
            <w:right w:w="0" w:type="dxa"/>
          </w:tblCellMar>
        </w:tblPrEx>
        <w:trPr>
          <w:jc w:val="center"/>
        </w:trPr>
        <w:tc>
          <w:tcPr>
            <w:tcW w:w="36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Освещенность рабочей поверхности Е, лк</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0,5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 0,5 </w:t>
            </w:r>
            <w:r w:rsidRPr="004F6638">
              <w:rPr>
                <w:rFonts w:ascii="Times New Roman" w:eastAsiaTheme="minorEastAsia" w:hAnsi="Times New Roman" w:cs="Times New Roman"/>
                <w:noProof/>
                <w:sz w:val="24"/>
                <w:szCs w:val="24"/>
                <w:lang w:eastAsia="ru-RU"/>
              </w:rPr>
              <w:drawing>
                <wp:inline distT="0" distB="0" distL="0" distR="0">
                  <wp:extent cx="190500" cy="1809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10</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НЕИОНИЗИРУЮЩИХ ИЗЛУЧЕНИЙ</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091"/>
        <w:gridCol w:w="1287"/>
        <w:gridCol w:w="1258"/>
        <w:gridCol w:w="1263"/>
        <w:gridCol w:w="1263"/>
        <w:gridCol w:w="1243"/>
        <w:gridCol w:w="1268"/>
      </w:tblGrid>
      <w:tr w:rsidR="004F6638" w:rsidRPr="004F6638" w:rsidTr="00DD7974">
        <w:tblPrEx>
          <w:tblCellMar>
            <w:top w:w="0" w:type="dxa"/>
            <w:left w:w="0" w:type="dxa"/>
            <w:bottom w:w="0" w:type="dxa"/>
            <w:right w:w="0" w:type="dxa"/>
          </w:tblCellMar>
        </w:tblPrEx>
        <w:trPr>
          <w:jc w:val="center"/>
        </w:trPr>
        <w:tc>
          <w:tcPr>
            <w:tcW w:w="1286"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 фактора</w:t>
            </w:r>
          </w:p>
        </w:tc>
        <w:tc>
          <w:tcPr>
            <w:tcW w:w="7714"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Превышение предельно допустимых уровней (раз)</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7714"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5143"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286"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Электростатическое поле</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Постоянное магнитное поле</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Электрические поля промышленной частоты (50 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10ПДУ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10ПДУ</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Магнитные поля промышленной частоты (50 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10ПДУ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10ПДУ</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Электромагнитные излучения радиочастотного диапазона:</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0,01 - 0,03 МГц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0,03 - 3,0 МГц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3,0 - 30,0 МГц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30,0 - 50,0 МГц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50,0 - 300,0 МГц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300,0 МГц - 300,0 ГГц</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ПДУ</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6"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28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11</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НЕИОНИЗИРУЮЩИХ ЭЛЕКТРОМАГНИТНЫХ ИЗЛУЧЕНИЙ ОПТИЧЕСКОГО ДИАПАЗОНА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1</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по классу (подклассу) условий труда при воздействии лазерного излучения</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980"/>
        <w:gridCol w:w="1287"/>
        <w:gridCol w:w="1170"/>
        <w:gridCol w:w="1170"/>
        <w:gridCol w:w="1170"/>
        <w:gridCol w:w="1170"/>
        <w:gridCol w:w="1170"/>
      </w:tblGrid>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68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Энергетическая экспозиция </w:t>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Дж/м2 при заданном спектральном интервале </w:t>
            </w:r>
            <w:r w:rsidRPr="004F6638">
              <w:rPr>
                <w:rFonts w:ascii="Times New Roman" w:eastAsiaTheme="minorEastAsia" w:hAnsi="Times New Roman" w:cs="Times New Roman"/>
                <w:noProof/>
                <w:sz w:val="24"/>
                <w:szCs w:val="24"/>
                <w:lang w:eastAsia="ru-RU"/>
              </w:rPr>
              <w:drawing>
                <wp:inline distT="0" distB="0" distL="0" distR="0">
                  <wp:extent cx="123825" cy="14287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нм и времени воздействия t, с</w:t>
            </w: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хроническом воздействии</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w:t>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однократном воздействии</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304800" cy="20002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10 </w:t>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66700" cy="1905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304800" cy="190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Энергетическая </w:t>
            </w:r>
            <w:r w:rsidRPr="004F6638">
              <w:rPr>
                <w:rFonts w:ascii="Times New Roman" w:eastAsiaTheme="minorEastAsia" w:hAnsi="Times New Roman" w:cs="Times New Roman"/>
                <w:sz w:val="24"/>
                <w:szCs w:val="24"/>
                <w:lang w:eastAsia="ru-RU"/>
              </w:rPr>
              <w:lastRenderedPageBreak/>
              <w:t xml:space="preserve">облученность </w:t>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Вт/м2 при заданном спектральном интервале </w:t>
            </w:r>
            <w:r w:rsidRPr="004F6638">
              <w:rPr>
                <w:rFonts w:ascii="Times New Roman" w:eastAsiaTheme="minorEastAsia" w:hAnsi="Times New Roman" w:cs="Times New Roman"/>
                <w:noProof/>
                <w:sz w:val="24"/>
                <w:szCs w:val="24"/>
                <w:lang w:eastAsia="ru-RU"/>
              </w:rPr>
              <w:drawing>
                <wp:inline distT="0" distB="0" distL="0" distR="0">
                  <wp:extent cx="123825" cy="1428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 нм и времени воздействия t, с</w:t>
            </w: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при хроническом воздействии</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w:t>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однократном воздействии</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10 </w:t>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 </w:t>
            </w:r>
            <w:r w:rsidRPr="004F6638">
              <w:rPr>
                <w:rFonts w:ascii="Times New Roman" w:eastAsiaTheme="minorEastAsia" w:hAnsi="Times New Roman" w:cs="Times New Roman"/>
                <w:noProof/>
                <w:sz w:val="24"/>
                <w:szCs w:val="24"/>
                <w:lang w:eastAsia="ru-RU"/>
              </w:rPr>
              <w:drawing>
                <wp:inline distT="0" distB="0" distL="0" distR="0">
                  <wp:extent cx="266700" cy="1905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&lt;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&gt; </w:t>
            </w:r>
            <w:r w:rsidRPr="004F6638">
              <w:rPr>
                <w:rFonts w:ascii="Times New Roman" w:eastAsiaTheme="minorEastAsia" w:hAnsi="Times New Roman" w:cs="Times New Roman"/>
                <w:noProof/>
                <w:sz w:val="24"/>
                <w:szCs w:val="24"/>
                <w:lang w:eastAsia="ru-RU"/>
              </w:rPr>
              <w:drawing>
                <wp:inline distT="0" distB="0" distL="0" distR="0">
                  <wp:extent cx="276225" cy="1809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F6638">
              <w:rPr>
                <w:rFonts w:ascii="Times New Roman" w:eastAsiaTheme="minorEastAsia" w:hAnsi="Times New Roman" w:cs="Times New Roman"/>
                <w:noProof/>
                <w:sz w:val="24"/>
                <w:szCs w:val="24"/>
                <w:lang w:eastAsia="ru-RU"/>
              </w:rPr>
              <w:drawing>
                <wp:inline distT="0" distB="0" distL="0" distR="0">
                  <wp:extent cx="285750" cy="2000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2</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Отнесение условий труда к классу (подклассу) условий труда при воздействии ультрафиолетового излучения (при наличии производственных источников)</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069"/>
        <w:gridCol w:w="1287"/>
        <w:gridCol w:w="1264"/>
        <w:gridCol w:w="1170"/>
        <w:gridCol w:w="1170"/>
        <w:gridCol w:w="1170"/>
        <w:gridCol w:w="1170"/>
      </w:tblGrid>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показателя</w:t>
            </w: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68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Допустимая интенсивность облучения работников при наличии незащищенных участков поверхности кожи площадью не более 0,2 м2, периода облучения до 5 минут, длительности пауз между ними не менее 30 минут и общей продолжительности воздействия за рабочий день (смену) до 60 минут, Вт/м2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50 (УФ-A)</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 (УФ-A)</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0,05 (УФ-B)</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0,05 (УФ-B)</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0,001 (УФ-C)</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0,001 (УФ-C)</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Допустимая интенсивность облучения работников при наличии</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10 (УФ-A)</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(УФ-A)</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Наименование показателя незащищенных участков </w:t>
            </w:r>
            <w:r w:rsidRPr="004F6638">
              <w:rPr>
                <w:rFonts w:ascii="Times New Roman" w:eastAsiaTheme="minorEastAsia" w:hAnsi="Times New Roman" w:cs="Times New Roman"/>
                <w:sz w:val="24"/>
                <w:szCs w:val="24"/>
                <w:lang w:eastAsia="ru-RU"/>
              </w:rPr>
              <w:lastRenderedPageBreak/>
              <w:t>поверхности кожи площадью не более 0,2 м2, длительности однократного облучения более 5 минут, длительности пауз между ними не менее 30 минут и общей продолжительности воздействия 50% рабочего дня (смены), Вт/м2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lastRenderedPageBreak/>
              <w:drawing>
                <wp:inline distT="0" distB="0" distL="0" distR="0">
                  <wp:extent cx="142875" cy="209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0,01 (УФ-B)</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0,01 (УФ-B)</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УФ-C излучение </w:t>
            </w:r>
            <w:r w:rsidRPr="004F6638">
              <w:rPr>
                <w:rFonts w:ascii="Times New Roman" w:eastAsiaTheme="minorEastAsia" w:hAnsi="Times New Roman" w:cs="Times New Roman"/>
                <w:sz w:val="24"/>
                <w:szCs w:val="24"/>
                <w:lang w:eastAsia="ru-RU"/>
              </w:rPr>
              <w:lastRenderedPageBreak/>
              <w:t>не допускается</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УФ-C излучение </w:t>
            </w:r>
            <w:r w:rsidRPr="004F6638">
              <w:rPr>
                <w:rFonts w:ascii="Times New Roman" w:eastAsiaTheme="minorEastAsia" w:hAnsi="Times New Roman" w:cs="Times New Roman"/>
                <w:sz w:val="24"/>
                <w:szCs w:val="24"/>
                <w:lang w:eastAsia="ru-RU"/>
              </w:rPr>
              <w:lastRenderedPageBreak/>
              <w:t>не допускается</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12</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ПРИ ВОЗДЕЙСТВИИ ИОНИЗИРУЮЩЕГО ИЗЛУЧЕНИЯ (В ЗАВИСИМОСТИ ОТ ЗНАЧЕНИЯ ПОТЕНЦИАЛЬНОЙ МАКСИМАЛЬНОЙ ДОЗЫ ПРИ РАБОТЕ С ИСТОЧНИКАМИ ИЗЛУЧЕНИЯ В СТАНДАРТНЫХ УСЛОВИЯХ), МЗВ/ГОД</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980"/>
        <w:gridCol w:w="1287"/>
        <w:gridCol w:w="1170"/>
        <w:gridCol w:w="1170"/>
        <w:gridCol w:w="1170"/>
        <w:gridCol w:w="1170"/>
        <w:gridCol w:w="1170"/>
      </w:tblGrid>
      <w:tr w:rsidR="004F6638" w:rsidRPr="004F6638" w:rsidTr="00DD7974">
        <w:tblPrEx>
          <w:tblCellMar>
            <w:top w:w="0" w:type="dxa"/>
            <w:left w:w="0" w:type="dxa"/>
            <w:bottom w:w="0" w:type="dxa"/>
            <w:right w:w="0" w:type="dxa"/>
          </w:tblCellMar>
        </w:tblPrEx>
        <w:trPr>
          <w:jc w:val="center"/>
        </w:trPr>
        <w:tc>
          <w:tcPr>
            <w:tcW w:w="198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Максимальная потенциальная доза за год, мЗв/год</w:t>
            </w:r>
          </w:p>
        </w:tc>
        <w:tc>
          <w:tcPr>
            <w:tcW w:w="7020" w:type="dxa"/>
            <w:gridSpan w:val="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68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опасный</w:t>
            </w:r>
          </w:p>
        </w:tc>
      </w:tr>
      <w:tr w:rsidR="004F6638" w:rsidRPr="004F6638" w:rsidTr="00DD7974">
        <w:tblPrEx>
          <w:tblCellMar>
            <w:top w:w="0" w:type="dxa"/>
            <w:left w:w="0" w:type="dxa"/>
            <w:bottom w:w="0" w:type="dxa"/>
            <w:right w:w="0" w:type="dxa"/>
          </w:tblCellMar>
        </w:tblPrEx>
        <w:trPr>
          <w:jc w:val="center"/>
        </w:trPr>
        <w:tc>
          <w:tcPr>
            <w:tcW w:w="198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r>
      <w:tr w:rsidR="004F6638" w:rsidRPr="004F6638" w:rsidTr="00DD7974">
        <w:tblPrEx>
          <w:tblCellMar>
            <w:top w:w="0" w:type="dxa"/>
            <w:left w:w="0" w:type="dxa"/>
            <w:bottom w:w="0" w:type="dxa"/>
            <w:right w:w="0" w:type="dxa"/>
          </w:tblCellMar>
        </w:tblPrEx>
        <w:trPr>
          <w:jc w:val="center"/>
        </w:trPr>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Эффективная доза</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5 - 10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10 - 20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20 - 50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50 - 100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w:t>
            </w:r>
          </w:p>
        </w:tc>
      </w:tr>
      <w:tr w:rsidR="004F6638" w:rsidRPr="004F6638" w:rsidTr="00DD7974">
        <w:tblPrEx>
          <w:tblCellMar>
            <w:top w:w="0" w:type="dxa"/>
            <w:left w:w="0" w:type="dxa"/>
            <w:bottom w:w="0" w:type="dxa"/>
            <w:right w:w="0" w:type="dxa"/>
          </w:tblCellMar>
        </w:tblPrEx>
        <w:trPr>
          <w:jc w:val="center"/>
        </w:trPr>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Эквивалентная доза в хрусталике глаза</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42875" cy="209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37,5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37,5 - 75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75 - 150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150 - 225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225 - 300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300</w:t>
            </w:r>
          </w:p>
        </w:tc>
      </w:tr>
      <w:tr w:rsidR="004F6638" w:rsidRPr="004F6638" w:rsidTr="00DD7974">
        <w:tblPrEx>
          <w:tblCellMar>
            <w:top w:w="0" w:type="dxa"/>
            <w:left w:w="0" w:type="dxa"/>
            <w:bottom w:w="0" w:type="dxa"/>
            <w:right w:w="0" w:type="dxa"/>
          </w:tblCellMar>
        </w:tblPrEx>
        <w:trPr>
          <w:jc w:val="center"/>
        </w:trPr>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Эквивалентная доза в коже, кистях и стопах</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noProof/>
                <w:sz w:val="24"/>
                <w:szCs w:val="24"/>
                <w:lang w:eastAsia="ru-RU"/>
              </w:rPr>
              <w:drawing>
                <wp:inline distT="0" distB="0" distL="0" distR="0">
                  <wp:extent cx="133350" cy="200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F6638">
              <w:rPr>
                <w:rFonts w:ascii="Times New Roman" w:eastAsiaTheme="minorEastAsia" w:hAnsi="Times New Roman" w:cs="Times New Roman"/>
                <w:sz w:val="24"/>
                <w:szCs w:val="24"/>
                <w:lang w:eastAsia="ru-RU"/>
              </w:rPr>
              <w:t xml:space="preserve"> 125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125 - 250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250 - 500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500 - 750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750 - 1000</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&gt; 1000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13</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ПО ТЯЖЕСТИ ТРУДОВОГО ПРОЦЕССА ФИЗИЧЕСКАЯ ДИНАМИЧЕСКАЯ НАГРУЗКА - ЕДИНИЦЫ ВНЕШНЕЙ МЕХАНИЧЕСКОЙ РАБОТЫ ЗА РАБОЧИЙ ДЕНЬ (СМЕНУ), КГ · М</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1</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30"/>
        <w:gridCol w:w="1890"/>
        <w:gridCol w:w="1890"/>
        <w:gridCol w:w="1890"/>
        <w:gridCol w:w="1800"/>
      </w:tblGrid>
      <w:tr w:rsidR="004F6638" w:rsidRPr="004F6638" w:rsidTr="00DD7974">
        <w:tblPrEx>
          <w:tblCellMar>
            <w:top w:w="0" w:type="dxa"/>
            <w:left w:w="0" w:type="dxa"/>
            <w:bottom w:w="0" w:type="dxa"/>
            <w:right w:w="0" w:type="dxa"/>
          </w:tblCellMar>
        </w:tblPrEx>
        <w:trPr>
          <w:jc w:val="center"/>
        </w:trPr>
        <w:tc>
          <w:tcPr>
            <w:tcW w:w="153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Показатели тяжести трудового процесса</w:t>
            </w:r>
          </w:p>
        </w:tc>
        <w:tc>
          <w:tcPr>
            <w:tcW w:w="747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9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региональной нагрузке перемещаемого работником груза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 преимущественным участием мышц рук и плечевого пояса работника)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перемещении груза на расстояние до 1 м:</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2 500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5 000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7 000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1 500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4 000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общей нагрузке перемещаемого работником груза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 участием мышц рук, корпуса, ног тела работника):</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перемещении работником груза на расстояние от 1 до 5 м:</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12 500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25 000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35 000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35 000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7 500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15 000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25 000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25 000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перемещении работником груза на расстояние более 5 м:</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24 000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46 000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70 000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70 000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14 000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28 000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40 000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40 000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2</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Масса поднимаемого и перемещаемого груза вручную, кг</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30"/>
        <w:gridCol w:w="1890"/>
        <w:gridCol w:w="1890"/>
        <w:gridCol w:w="1890"/>
        <w:gridCol w:w="1800"/>
      </w:tblGrid>
      <w:tr w:rsidR="004F6638" w:rsidRPr="004F6638" w:rsidTr="00DD7974">
        <w:tblPrEx>
          <w:tblCellMar>
            <w:top w:w="0" w:type="dxa"/>
            <w:left w:w="0" w:type="dxa"/>
            <w:bottom w:w="0" w:type="dxa"/>
            <w:right w:w="0" w:type="dxa"/>
          </w:tblCellMar>
        </w:tblPrEx>
        <w:trPr>
          <w:jc w:val="center"/>
        </w:trPr>
        <w:tc>
          <w:tcPr>
            <w:tcW w:w="153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Показатели тяжести трудового процесса</w:t>
            </w:r>
          </w:p>
        </w:tc>
        <w:tc>
          <w:tcPr>
            <w:tcW w:w="747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9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Подъем и перемещение (разовое) тяжести при чередовании с другой работой</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2 раз в час):</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15</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35</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35</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5</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12</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Подъем и перемещение тяжести постоянно в течение рабочего дня (смены) (более 2 раз в час):</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5</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15</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20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Суммарная масса грузов, перемещаемых в течение каждого часа рабочего дня (смены):</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 рабочей поверхности:</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250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870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1 500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1 500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350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700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 пола:</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435</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600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600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50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175</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350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350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3</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Стереотипные рабочие движения, количество за рабочий день (смену), единиц</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30"/>
        <w:gridCol w:w="1890"/>
        <w:gridCol w:w="1890"/>
        <w:gridCol w:w="1890"/>
        <w:gridCol w:w="1800"/>
      </w:tblGrid>
      <w:tr w:rsidR="004F6638" w:rsidRPr="004F6638" w:rsidTr="00DD7974">
        <w:tblPrEx>
          <w:tblCellMar>
            <w:top w:w="0" w:type="dxa"/>
            <w:left w:w="0" w:type="dxa"/>
            <w:bottom w:w="0" w:type="dxa"/>
            <w:right w:w="0" w:type="dxa"/>
          </w:tblCellMar>
        </w:tblPrEx>
        <w:trPr>
          <w:jc w:val="center"/>
        </w:trPr>
        <w:tc>
          <w:tcPr>
            <w:tcW w:w="153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Показатели тяжести трудового процесса</w:t>
            </w:r>
          </w:p>
        </w:tc>
        <w:tc>
          <w:tcPr>
            <w:tcW w:w="747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9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стереотипных рабочих движений работника при локальной нагрузке (с участием мышц кистей и пальцев рук):</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20 000</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40 000</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60 000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60 000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стереотипных рабочих движений работника при региональной нагрузке (при работе с преимущественным участием мышц рук и плечевого пояса):</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10 000</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20 000</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30 000</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30 000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4</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Статическая нагрузка - величина статической нагрузки за рабочий день (смену) при удержании работником груза, приложении усилий, кгс · с</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30"/>
        <w:gridCol w:w="1890"/>
        <w:gridCol w:w="1890"/>
        <w:gridCol w:w="1890"/>
        <w:gridCol w:w="1800"/>
      </w:tblGrid>
      <w:tr w:rsidR="004F6638" w:rsidRPr="004F6638" w:rsidTr="00DD7974">
        <w:tblPrEx>
          <w:tblCellMar>
            <w:top w:w="0" w:type="dxa"/>
            <w:left w:w="0" w:type="dxa"/>
            <w:bottom w:w="0" w:type="dxa"/>
            <w:right w:w="0" w:type="dxa"/>
          </w:tblCellMar>
        </w:tblPrEx>
        <w:trPr>
          <w:jc w:val="center"/>
        </w:trPr>
        <w:tc>
          <w:tcPr>
            <w:tcW w:w="153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Показатели тяжести трудового процесса</w:t>
            </w:r>
          </w:p>
        </w:tc>
        <w:tc>
          <w:tcPr>
            <w:tcW w:w="747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369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153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удержании груза одной рукой:</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18 000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36 000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70 000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70 000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11 000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22 000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42 000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42 000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удержании груза двумя руками:</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36 000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70 000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140 000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140 000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22 000.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42 000.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84 000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84 000</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удержании груза с участием мышц корпуса и ног:</w:t>
            </w:r>
          </w:p>
        </w:tc>
      </w:tr>
      <w:tr w:rsidR="004F6638" w:rsidRPr="004F6638" w:rsidTr="00DD7974">
        <w:tblPrEx>
          <w:tblCellMar>
            <w:top w:w="0" w:type="dxa"/>
            <w:left w:w="0" w:type="dxa"/>
            <w:bottom w:w="0" w:type="dxa"/>
            <w:right w:w="0" w:type="dxa"/>
          </w:tblCellMar>
        </w:tblPrEx>
        <w:trPr>
          <w:jc w:val="center"/>
        </w:trPr>
        <w:tc>
          <w:tcPr>
            <w:tcW w:w="153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мужчин</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43 000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100 000</w:t>
            </w:r>
          </w:p>
        </w:tc>
        <w:tc>
          <w:tcPr>
            <w:tcW w:w="189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200 000</w:t>
            </w:r>
          </w:p>
        </w:tc>
        <w:tc>
          <w:tcPr>
            <w:tcW w:w="1800" w:type="dxa"/>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200 000</w:t>
            </w:r>
          </w:p>
        </w:tc>
      </w:tr>
      <w:tr w:rsidR="004F6638" w:rsidRPr="004F6638" w:rsidTr="00DD7974">
        <w:tblPrEx>
          <w:tblCellMar>
            <w:top w:w="0" w:type="dxa"/>
            <w:left w:w="0" w:type="dxa"/>
            <w:bottom w:w="0" w:type="dxa"/>
            <w:right w:w="0" w:type="dxa"/>
          </w:tblCellMar>
        </w:tblPrEx>
        <w:trPr>
          <w:jc w:val="center"/>
        </w:trPr>
        <w:tc>
          <w:tcPr>
            <w:tcW w:w="153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для женщин</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26 000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60 000</w:t>
            </w:r>
          </w:p>
        </w:tc>
        <w:tc>
          <w:tcPr>
            <w:tcW w:w="189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более 120 000</w:t>
            </w:r>
          </w:p>
        </w:tc>
        <w:tc>
          <w:tcPr>
            <w:tcW w:w="1800" w:type="dxa"/>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120 000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5</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Рабочее положение тела работника в течение рабочего дня (смены)</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890"/>
        <w:gridCol w:w="1890"/>
        <w:gridCol w:w="2610"/>
        <w:gridCol w:w="2610"/>
      </w:tblGrid>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522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26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26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Свободное удобное положение с возможностью смены рабочего положения тела (сидя, стоя). Нахождение в положении "стоя" до 40% времени рабочего дня (смены)</w:t>
            </w:r>
          </w:p>
        </w:tc>
        <w:tc>
          <w:tcPr>
            <w:tcW w:w="189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Периодическое, до 25% времени рабочего дня (смены), нахождение в неудобном и (или) фиксированном положении. Нахождение в положении "стоя" до 60% времени рабочего дня (смены)</w:t>
            </w:r>
          </w:p>
        </w:tc>
        <w:tc>
          <w:tcPr>
            <w:tcW w:w="26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Периодическое, до 50% времени рабочего дня (смены), нахождение в неудобном и (или) фиксированном положении;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периодическое, до 25% времени рабочего дня (смены),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пребывание в вынужденном положении. Нахождение в положении "стоя" до 80% времени рабочего дня (смены).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Нахождение в положении "сидя" без перерывов от 60 до 80% времени рабочего дня (смены)</w:t>
            </w:r>
          </w:p>
        </w:tc>
        <w:tc>
          <w:tcPr>
            <w:tcW w:w="26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Периодическое, более 50% времени рабочего дня (смены), нахождение в неудобном и (или) фиксированном положении;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периодическое, более 25% времени рабочего дня (смены), пребывание в вынужденном положении. Нахождение в положении "стоя" более 80% времени рабочего дня (смены).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Нахождение в положении "сидя" без перерывов более 80% времени рабочего дня (смены)</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6</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Наклоны корпуса тела работника более 30°, количество за рабочий день (смену)</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250"/>
        <w:gridCol w:w="2250"/>
        <w:gridCol w:w="2250"/>
        <w:gridCol w:w="2250"/>
      </w:tblGrid>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5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50</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51 - 100</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101 - 300</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свыше 300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7</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Перемещения работника в пространстве, обусловленные технологическим процессом, в течение рабочего дня (смены), км</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250"/>
        <w:gridCol w:w="2250"/>
        <w:gridCol w:w="2250"/>
        <w:gridCol w:w="2250"/>
      </w:tblGrid>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45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 горизонтали:</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4</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8</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12</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12</w:t>
            </w:r>
          </w:p>
        </w:tc>
      </w:tr>
      <w:tr w:rsidR="004F6638" w:rsidRPr="004F6638" w:rsidTr="00DD7974">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 вертикали:</w:t>
            </w:r>
          </w:p>
        </w:tc>
      </w:tr>
      <w:tr w:rsidR="004F6638" w:rsidRPr="004F6638" w:rsidTr="00DD7974">
        <w:tblPrEx>
          <w:tblCellMar>
            <w:top w:w="0" w:type="dxa"/>
            <w:left w:w="0" w:type="dxa"/>
            <w:bottom w:w="0" w:type="dxa"/>
            <w:right w:w="0" w:type="dxa"/>
          </w:tblCellMar>
        </w:tblPrEx>
        <w:trPr>
          <w:jc w:val="center"/>
        </w:trPr>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1</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2,5</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5</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5</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14</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ОТНЕСЕНИЕ УСЛОВИЙ ТРУДА К КЛАССУ (ПОДКЛАССУ) УСЛОВИЙ ТРУДА ПО НАПРЯЖЕННОСТИ ТРУДОВОГО ПРОЦЕССА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960"/>
        <w:gridCol w:w="1403"/>
        <w:gridCol w:w="1287"/>
        <w:gridCol w:w="1260"/>
        <w:gridCol w:w="1260"/>
      </w:tblGrid>
      <w:tr w:rsidR="004F6638" w:rsidRPr="004F6638" w:rsidTr="00DD7974">
        <w:tblPrEx>
          <w:tblCellMar>
            <w:top w:w="0" w:type="dxa"/>
            <w:left w:w="0" w:type="dxa"/>
            <w:bottom w:w="0" w:type="dxa"/>
            <w:right w:w="0" w:type="dxa"/>
          </w:tblCellMar>
        </w:tblPrEx>
        <w:trPr>
          <w:jc w:val="center"/>
        </w:trPr>
        <w:tc>
          <w:tcPr>
            <w:tcW w:w="396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Показатели напряженности трудового процесса</w:t>
            </w:r>
          </w:p>
        </w:tc>
        <w:tc>
          <w:tcPr>
            <w:tcW w:w="504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396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оптимальный</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допустимый</w:t>
            </w:r>
          </w:p>
        </w:tc>
        <w:tc>
          <w:tcPr>
            <w:tcW w:w="252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вредный</w:t>
            </w:r>
          </w:p>
        </w:tc>
      </w:tr>
      <w:tr w:rsidR="004F6638" w:rsidRPr="004F6638" w:rsidTr="00DD7974">
        <w:tblPrEx>
          <w:tblCellMar>
            <w:top w:w="0" w:type="dxa"/>
            <w:left w:w="0" w:type="dxa"/>
            <w:bottom w:w="0" w:type="dxa"/>
            <w:right w:w="0" w:type="dxa"/>
          </w:tblCellMar>
        </w:tblPrEx>
        <w:trPr>
          <w:jc w:val="center"/>
        </w:trPr>
        <w:tc>
          <w:tcPr>
            <w:tcW w:w="396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Сенсорные нагрузки</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Плотность сигналов (световых и звуковых) и сообщений в среднем за 1 час работы, ед.</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75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76 - 175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176 - 300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300</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Число производственных объектов одновременного наблюдения, ед.</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6 - 10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11 - 25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25</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Работа с оптическими приборами (% времени рабочего дня (смены)</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25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26 - 50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51 - 75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75</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Нагрузка на голосовой аппарат (суммарное количество часов, наговариваемое в неделю), час.</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16</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20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 25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25</w:t>
            </w:r>
          </w:p>
        </w:tc>
      </w:tr>
      <w:tr w:rsidR="004F6638" w:rsidRPr="004F6638" w:rsidTr="00DD7974">
        <w:tblPrEx>
          <w:tblCellMar>
            <w:top w:w="0" w:type="dxa"/>
            <w:left w:w="0" w:type="dxa"/>
            <w:bottom w:w="0" w:type="dxa"/>
            <w:right w:w="0" w:type="dxa"/>
          </w:tblCellMar>
        </w:tblPrEx>
        <w:trPr>
          <w:jc w:val="center"/>
        </w:trPr>
        <w:tc>
          <w:tcPr>
            <w:tcW w:w="9000" w:type="dxa"/>
            <w:gridSpan w:val="5"/>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Монотонность нагрузок</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Число элементов (приемов), необходимых для реализации простого задания или многократно повторяющихся операций, ед.</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10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9 - 6</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5 - 3</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менее 3</w:t>
            </w:r>
          </w:p>
        </w:tc>
      </w:tr>
      <w:tr w:rsidR="004F6638" w:rsidRPr="004F6638" w:rsidTr="00DD7974">
        <w:tblPrEx>
          <w:tblCellMar>
            <w:top w:w="0" w:type="dxa"/>
            <w:left w:w="0" w:type="dxa"/>
            <w:bottom w:w="0" w:type="dxa"/>
            <w:right w:w="0" w:type="dxa"/>
          </w:tblCellMar>
        </w:tblPrEx>
        <w:trPr>
          <w:jc w:val="center"/>
        </w:trPr>
        <w:tc>
          <w:tcPr>
            <w:tcW w:w="39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Монотонность производственной обстановки (время пассивного наблюдения за ходом технологического процесса в% от времени рабочего дня (смены), час.</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менее 75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76 - 80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81 - 90</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более 90</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15</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Методике проведения специальной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оценки условий труда, утвержденной</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приказом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ИТОГОВАЯ ОЦЕНКА УСЛОВИЙ ТРУДА НА РАБОЧЕМ МЕСТЕ ПО СТЕПЕНИ ВРЕДНОСТИ И ОПАСНОСТИ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6120"/>
        <w:gridCol w:w="2880"/>
      </w:tblGrid>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фактора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Химический</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Биологический</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Аэрозоли преимущественно фиброгенного действия</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Неионизирующие излучения</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Ионизирующие излучения</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Параметры микроклимата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Световая среда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Тяжесть трудового процесса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Напряженность трудового процесса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1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Общая оценка условий труда</w:t>
            </w:r>
          </w:p>
        </w:tc>
        <w:tc>
          <w:tcPr>
            <w:tcW w:w="28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2</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приказу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КЛАССИФИКАТОР ВРЕДНЫХ И (ИЛИ) ОПАСНЫХ ПРОИЗВОДСТВЕННЫХ ФАКТОРОВ</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080"/>
        <w:gridCol w:w="7920"/>
      </w:tblGrid>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п/п</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вредного и (или) опасного фактора производственной среды и трудового процесса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Физические факторы</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Микроклимат</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Температура воздуха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Относительная влажность воздуха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Скорость движения воздуха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Тепловое излучение (облучение)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Аэрозоли преимущественно фиброгенного действия (АПФД)</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Виброакустические факторы</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Общая вибрация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Локальная вибрация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Световая среда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Освещенность рабочей поверхности</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Неионизирующие излучения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Переменное электромагнитное поле (промышленная частота 50 Гц)</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Переменное электромагнитное поле радиочастотного диапазона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Электростатическое поле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Постоянное магнитное поле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Ультрафиолетовое излучение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1.5.6</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Лазерное излучение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Ионизирующие излучения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Рентгеновское, гамма- и нейтронное излучение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1.6.2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Радиоактивное загрязнение производственных помещений (рабочих зон), элементов производственного оборудования, средств индивидуальной защиты и кожных покровов работника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Химический фактор</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Биологический фактор</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Микроорганизмы-продуценты, живые клетки и споры, содержащиеся в бактериальных препаратах</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Патогенные микроорганизмы - возбудители особо опасных инфекционных заболеваний</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Патогенные микроорганизмы - возбудители высококонтагиозных эпидемических заболеваний человека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Патогенные микроорганизмы - возбудители инфекционных болезней, выделяемые в самостоятельные нозологические группы</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Условно-патогенные микроорганизмы (возбудители оппортунистических инфекций)</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Тяжесть трудового процесса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Физическая динамическая нагрузка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Масса поднимаемого и перемещаемого груза вручную</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Стереотипные рабочие движения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Статическая нагрузка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Рабочая поза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4.6</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Наклоны корпуса тела работника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4.7</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Перемещение в пространстве</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Напряженность трудового процесса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5.1</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Длительность сосредоточенного наблюдения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5.2</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Плотность сигналов (световых, звуковых) и сообщений в единицу времени</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5.3</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Число производственных объектов одновременного наблюдения</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5.4</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Нагрузка на слуховой анализатор</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5.5</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Активное наблюдение за ходом производственного процесса</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5.6</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Работа с оптическими приборами</w:t>
            </w:r>
          </w:p>
        </w:tc>
      </w:tr>
      <w:tr w:rsidR="004F6638" w:rsidRPr="004F6638" w:rsidTr="00DD7974">
        <w:tblPrEx>
          <w:tblCellMar>
            <w:top w:w="0" w:type="dxa"/>
            <w:left w:w="0" w:type="dxa"/>
            <w:bottom w:w="0" w:type="dxa"/>
            <w:right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5.7</w:t>
            </w:r>
          </w:p>
        </w:tc>
        <w:tc>
          <w:tcPr>
            <w:tcW w:w="79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Нагрузка на голосовой аппарат</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3</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приказу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Форма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ОТЧЕТ О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Титульный лист отчета о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6300"/>
        <w:gridCol w:w="2700"/>
      </w:tblGrid>
      <w:tr w:rsidR="004F6638" w:rsidRPr="004F6638" w:rsidTr="00DD7974">
        <w:tblPrEx>
          <w:tblCellMar>
            <w:top w:w="0" w:type="dxa"/>
            <w:left w:w="0" w:type="dxa"/>
            <w:bottom w:w="0" w:type="dxa"/>
            <w:right w:w="0" w:type="dxa"/>
          </w:tblCellMar>
        </w:tblPrEx>
        <w:trPr>
          <w:jc w:val="center"/>
        </w:trPr>
        <w:tc>
          <w:tcPr>
            <w:tcW w:w="63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УТВЕРЖДАЮ</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Председатель комиссии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 проведению специальной оценки</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условий труда</w:t>
            </w:r>
          </w:p>
        </w:tc>
      </w:tr>
      <w:tr w:rsidR="004F6638" w:rsidRPr="004F6638" w:rsidTr="00DD7974">
        <w:tblPrEx>
          <w:tblCellMar>
            <w:top w:w="0" w:type="dxa"/>
            <w:left w:w="0" w:type="dxa"/>
            <w:bottom w:w="0" w:type="dxa"/>
            <w:right w:w="0" w:type="dxa"/>
          </w:tblCellMar>
        </w:tblPrEx>
        <w:trPr>
          <w:jc w:val="center"/>
        </w:trPr>
        <w:tc>
          <w:tcPr>
            <w:tcW w:w="63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63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7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 фамилия, инициалы)</w:t>
            </w:r>
          </w:p>
        </w:tc>
      </w:tr>
      <w:tr w:rsidR="004F6638" w:rsidRPr="004F6638" w:rsidTr="00DD7974">
        <w:tblPrEx>
          <w:tblCellMar>
            <w:top w:w="0" w:type="dxa"/>
            <w:left w:w="0" w:type="dxa"/>
            <w:bottom w:w="0" w:type="dxa"/>
            <w:right w:w="0" w:type="dxa"/>
          </w:tblCellMar>
        </w:tblPrEx>
        <w:trPr>
          <w:jc w:val="center"/>
        </w:trPr>
        <w:tc>
          <w:tcPr>
            <w:tcW w:w="63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7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"__" _____________ ____ г.</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ОТЧЕТ О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(идентификационный N __________________)</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50"/>
        <w:gridCol w:w="4250"/>
      </w:tblGrid>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w:t>
            </w:r>
          </w:p>
        </w:tc>
        <w:tc>
          <w:tcPr>
            <w:tcW w:w="4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2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(полное наименование работодателя)</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9000"/>
      </w:tblGrid>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(адрес в пределах места нахождения работодателя и адрес осуществления деятельности работодателя)</w:t>
            </w:r>
          </w:p>
        </w:tc>
      </w:tr>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(ИНН работодателя)</w:t>
            </w:r>
          </w:p>
        </w:tc>
      </w:tr>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(КПП работодателя)</w:t>
            </w:r>
          </w:p>
        </w:tc>
      </w:tr>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(ОГРН работодателя)</w:t>
            </w:r>
          </w:p>
        </w:tc>
      </w:tr>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(код основного вида экономической деятельности по </w:t>
            </w:r>
            <w:hyperlink r:id="rId209" w:history="1">
              <w:r w:rsidRPr="004F6638">
                <w:rPr>
                  <w:rFonts w:ascii="Times New Roman" w:eastAsiaTheme="minorEastAsia" w:hAnsi="Times New Roman" w:cs="Times New Roman"/>
                  <w:sz w:val="24"/>
                  <w:szCs w:val="24"/>
                  <w:u w:val="single"/>
                  <w:lang w:eastAsia="ru-RU"/>
                </w:rPr>
                <w:t>ОКВЭД</w:t>
              </w:r>
            </w:hyperlink>
            <w:r w:rsidRPr="004F6638">
              <w:rPr>
                <w:rFonts w:ascii="Times New Roman" w:eastAsiaTheme="minorEastAsia" w:hAnsi="Times New Roman" w:cs="Times New Roman"/>
                <w:sz w:val="24"/>
                <w:szCs w:val="24"/>
                <w:lang w:eastAsia="ru-RU"/>
              </w:rPr>
              <w:t>)</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311"/>
        <w:gridCol w:w="1209"/>
        <w:gridCol w:w="1208"/>
        <w:gridCol w:w="1208"/>
        <w:gridCol w:w="1208"/>
        <w:gridCol w:w="1208"/>
        <w:gridCol w:w="250"/>
        <w:gridCol w:w="1500"/>
      </w:tblGrid>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Члены комиссии по проведению специальной оценки условий труда:</w:t>
            </w:r>
          </w:p>
        </w:tc>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8"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8"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(фамилия, </w:t>
            </w:r>
            <w:r w:rsidRPr="004F6638">
              <w:rPr>
                <w:rFonts w:ascii="Times New Roman" w:eastAsiaTheme="minorEastAsia" w:hAnsi="Times New Roman" w:cs="Times New Roman"/>
                <w:sz w:val="24"/>
                <w:szCs w:val="24"/>
                <w:lang w:eastAsia="ru-RU"/>
              </w:rPr>
              <w:lastRenderedPageBreak/>
              <w:t>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w:t>
            </w:r>
          </w:p>
        </w:tc>
        <w:tc>
          <w:tcPr>
            <w:tcW w:w="2417"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7" w:type="dxa"/>
            <w:gridSpan w:val="2"/>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7"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09"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7" w:type="dxa"/>
            <w:gridSpan w:val="2"/>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1208"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416" w:type="dxa"/>
            <w:gridSpan w:val="2"/>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Раздел I. Сведения об организации, проводящей специальную оценку условий труда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450"/>
        <w:gridCol w:w="8550"/>
      </w:tblGrid>
      <w:tr w:rsidR="004F6638" w:rsidRPr="004F6638" w:rsidTr="00DD7974">
        <w:tblPrEx>
          <w:tblCellMar>
            <w:top w:w="0" w:type="dxa"/>
            <w:left w:w="0" w:type="dxa"/>
            <w:bottom w:w="0" w:type="dxa"/>
            <w:right w:w="0" w:type="dxa"/>
          </w:tblCellMar>
        </w:tblPrEx>
        <w:trPr>
          <w:jc w:val="center"/>
        </w:trPr>
        <w:tc>
          <w:tcPr>
            <w:tcW w:w="4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85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85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(полное наименование организации)</w:t>
            </w:r>
          </w:p>
        </w:tc>
      </w:tr>
      <w:tr w:rsidR="004F6638" w:rsidRPr="004F6638" w:rsidTr="00DD7974">
        <w:tblPrEx>
          <w:tblCellMar>
            <w:top w:w="0" w:type="dxa"/>
            <w:left w:w="0" w:type="dxa"/>
            <w:bottom w:w="0" w:type="dxa"/>
            <w:right w:w="0" w:type="dxa"/>
          </w:tblCellMar>
        </w:tblPrEx>
        <w:trPr>
          <w:jc w:val="center"/>
        </w:trPr>
        <w:tc>
          <w:tcPr>
            <w:tcW w:w="4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85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85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(адрес в пределах места нахождения и осуществления деятельности организации, контактный телефон, адрес электронной почты)</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00"/>
        <w:gridCol w:w="8250"/>
        <w:gridCol w:w="250"/>
      </w:tblGrid>
      <w:tr w:rsidR="004F6638" w:rsidRPr="004F6638" w:rsidTr="00DD7974">
        <w:tblPrEx>
          <w:tblCellMar>
            <w:top w:w="0" w:type="dxa"/>
            <w:left w:w="0" w:type="dxa"/>
            <w:bottom w:w="0" w:type="dxa"/>
            <w:right w:w="0" w:type="dxa"/>
          </w:tblCellMar>
        </w:tblPrEx>
        <w:trPr>
          <w:jc w:val="center"/>
        </w:trPr>
        <w:tc>
          <w:tcPr>
            <w:tcW w:w="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8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Номер в реестре организаций, проводящих специальную оценку условий труда</w:t>
            </w:r>
          </w:p>
        </w:tc>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8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внесения в реестр организаций, проводящих специальную оценку условий труда</w:t>
            </w:r>
          </w:p>
        </w:tc>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00"/>
        <w:gridCol w:w="2000"/>
        <w:gridCol w:w="250"/>
        <w:gridCol w:w="250"/>
      </w:tblGrid>
      <w:tr w:rsidR="004F6638" w:rsidRPr="004F6638" w:rsidTr="00DD7974">
        <w:tblPrEx>
          <w:tblCellMar>
            <w:top w:w="0" w:type="dxa"/>
            <w:left w:w="0" w:type="dxa"/>
            <w:bottom w:w="0" w:type="dxa"/>
            <w:right w:w="0" w:type="dxa"/>
          </w:tblCellMar>
        </w:tblPrEx>
        <w:trPr>
          <w:jc w:val="center"/>
        </w:trPr>
        <w:tc>
          <w:tcPr>
            <w:tcW w:w="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20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ИНН организации</w:t>
            </w:r>
          </w:p>
        </w:tc>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20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ОГРН организации</w:t>
            </w:r>
          </w:p>
        </w:tc>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Сведения об испытательной лаборатории (центре) организации:</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000"/>
        <w:gridCol w:w="3000"/>
        <w:gridCol w:w="3000"/>
      </w:tblGrid>
      <w:tr w:rsidR="004F6638" w:rsidRPr="004F6638" w:rsidTr="00DD7974">
        <w:tblPrEx>
          <w:tblCellMar>
            <w:top w:w="0" w:type="dxa"/>
            <w:left w:w="0" w:type="dxa"/>
            <w:bottom w:w="0" w:type="dxa"/>
            <w:right w:w="0" w:type="dxa"/>
          </w:tblCellMar>
        </w:tblPrEx>
        <w:trPr>
          <w:jc w:val="center"/>
        </w:trPr>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Регистрационный номер аттестата аккредитации организации</w:t>
            </w: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выдачи аттестата аккредитации организации</w:t>
            </w: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истечения срока действия аттестата аккредитации организации</w:t>
            </w:r>
          </w:p>
        </w:tc>
      </w:tr>
      <w:tr w:rsidR="004F6638" w:rsidRPr="004F6638" w:rsidTr="00DD7974">
        <w:tblPrEx>
          <w:tblCellMar>
            <w:top w:w="0" w:type="dxa"/>
            <w:left w:w="0" w:type="dxa"/>
            <w:bottom w:w="0" w:type="dxa"/>
            <w:right w:w="0" w:type="dxa"/>
          </w:tblCellMar>
        </w:tblPrEx>
        <w:trPr>
          <w:jc w:val="center"/>
        </w:trPr>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r>
      <w:tr w:rsidR="004F6638" w:rsidRPr="004F6638" w:rsidTr="00DD7974">
        <w:tblPrEx>
          <w:tblCellMar>
            <w:top w:w="0" w:type="dxa"/>
            <w:left w:w="0" w:type="dxa"/>
            <w:bottom w:w="0" w:type="dxa"/>
            <w:right w:w="0" w:type="dxa"/>
          </w:tblCellMar>
        </w:tblPrEx>
        <w:trPr>
          <w:jc w:val="center"/>
        </w:trPr>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0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 Сведения об экспертах и иных работниках организации, участвовавших в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250"/>
        <w:gridCol w:w="1250"/>
        <w:gridCol w:w="1250"/>
        <w:gridCol w:w="1500"/>
        <w:gridCol w:w="1250"/>
        <w:gridCol w:w="1250"/>
        <w:gridCol w:w="1844"/>
      </w:tblGrid>
      <w:tr w:rsidR="004F6638" w:rsidRPr="004F6638" w:rsidTr="00DD7974">
        <w:tblPrEx>
          <w:tblCellMar>
            <w:top w:w="0" w:type="dxa"/>
            <w:left w:w="0" w:type="dxa"/>
            <w:bottom w:w="0" w:type="dxa"/>
            <w:right w:w="0" w:type="dxa"/>
          </w:tblCellMar>
        </w:tblPrEx>
        <w:trPr>
          <w:jc w:val="center"/>
        </w:trPr>
        <w:tc>
          <w:tcPr>
            <w:tcW w:w="12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п/п</w:t>
            </w:r>
          </w:p>
        </w:tc>
        <w:tc>
          <w:tcPr>
            <w:tcW w:w="12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проведения измерений</w:t>
            </w:r>
          </w:p>
        </w:tc>
        <w:tc>
          <w:tcPr>
            <w:tcW w:w="12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 эксперта (работника)</w:t>
            </w:r>
          </w:p>
        </w:tc>
        <w:tc>
          <w:tcPr>
            <w:tcW w:w="15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Сведения о сертификате эксперта на право выполнения работ по специальной оценке условий труда</w:t>
            </w:r>
          </w:p>
        </w:tc>
        <w:tc>
          <w:tcPr>
            <w:tcW w:w="12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Регистрационный номер в реестре экспертов организаций, проводящих специальную оценку условий </w:t>
            </w:r>
            <w:r w:rsidRPr="004F6638">
              <w:rPr>
                <w:rFonts w:ascii="Times New Roman" w:eastAsiaTheme="minorEastAsia" w:hAnsi="Times New Roman" w:cs="Times New Roman"/>
                <w:sz w:val="24"/>
                <w:szCs w:val="24"/>
                <w:lang w:eastAsia="ru-RU"/>
              </w:rPr>
              <w:lastRenderedPageBreak/>
              <w:t>труда</w:t>
            </w:r>
          </w:p>
        </w:tc>
      </w:tr>
      <w:tr w:rsidR="004F6638" w:rsidRPr="004F6638" w:rsidTr="00DD7974">
        <w:tblPrEx>
          <w:tblCellMar>
            <w:top w:w="0" w:type="dxa"/>
            <w:left w:w="0" w:type="dxa"/>
            <w:bottom w:w="0" w:type="dxa"/>
            <w:right w:w="0" w:type="dxa"/>
          </w:tblCellMar>
        </w:tblPrEx>
        <w:trPr>
          <w:jc w:val="center"/>
        </w:trPr>
        <w:tc>
          <w:tcPr>
            <w:tcW w:w="12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номер</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выдачи</w:t>
            </w:r>
          </w:p>
        </w:tc>
        <w:tc>
          <w:tcPr>
            <w:tcW w:w="12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1</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 Сведения о средствах измерений испытательной лаборатории (центра) организации, использовавшихся при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12"/>
        <w:gridCol w:w="1200"/>
        <w:gridCol w:w="2202"/>
        <w:gridCol w:w="1514"/>
        <w:gridCol w:w="1844"/>
        <w:gridCol w:w="1162"/>
        <w:gridCol w:w="1239"/>
      </w:tblGrid>
      <w:tr w:rsidR="004F6638" w:rsidRPr="004F6638" w:rsidTr="00DD7974">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п/п</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проведения измерений</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вредного и (или) опасного фактора производственной среды и трудового процесса</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средства измерений</w:t>
            </w:r>
          </w:p>
        </w:tc>
        <w:tc>
          <w:tcPr>
            <w:tcW w:w="17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Регистрационный номер в Государственном реестре средств измерений</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Заводской номер средства измерений</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окончания срока поверки средства измерений</w:t>
            </w:r>
          </w:p>
        </w:tc>
      </w:tr>
      <w:tr w:rsidR="004F6638" w:rsidRPr="004F6638" w:rsidTr="00DD7974">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17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r>
      <w:tr w:rsidR="004F6638" w:rsidRPr="004F6638" w:rsidTr="00DD7974">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1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17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420"/>
        <w:gridCol w:w="1170"/>
        <w:gridCol w:w="360"/>
        <w:gridCol w:w="2340"/>
        <w:gridCol w:w="360"/>
        <w:gridCol w:w="1350"/>
      </w:tblGrid>
      <w:tr w:rsidR="004F6638" w:rsidRPr="004F6638" w:rsidTr="00DD7974">
        <w:tblPrEx>
          <w:tblCellMar>
            <w:top w:w="0" w:type="dxa"/>
            <w:left w:w="0" w:type="dxa"/>
            <w:bottom w:w="0" w:type="dxa"/>
            <w:right w:w="0" w:type="dxa"/>
          </w:tblCellMar>
        </w:tblPrEx>
        <w:trPr>
          <w:jc w:val="center"/>
        </w:trPr>
        <w:tc>
          <w:tcPr>
            <w:tcW w:w="342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Руководитель организации, проводящей специальную оценку условий труда</w:t>
            </w:r>
          </w:p>
        </w:tc>
        <w:tc>
          <w:tcPr>
            <w:tcW w:w="117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6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34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6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3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342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17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c>
          <w:tcPr>
            <w:tcW w:w="36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34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36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3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Раздел II. Перечень рабочих мест, на которых проводилась специальная оценка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604"/>
        <w:gridCol w:w="636"/>
        <w:gridCol w:w="449"/>
        <w:gridCol w:w="475"/>
        <w:gridCol w:w="440"/>
        <w:gridCol w:w="530"/>
        <w:gridCol w:w="627"/>
        <w:gridCol w:w="184"/>
        <w:gridCol w:w="387"/>
        <w:gridCol w:w="403"/>
        <w:gridCol w:w="346"/>
        <w:gridCol w:w="357"/>
        <w:gridCol w:w="662"/>
        <w:gridCol w:w="657"/>
        <w:gridCol w:w="657"/>
        <w:gridCol w:w="547"/>
        <w:gridCol w:w="485"/>
        <w:gridCol w:w="324"/>
        <w:gridCol w:w="358"/>
        <w:gridCol w:w="545"/>
      </w:tblGrid>
      <w:tr w:rsidR="004F6638" w:rsidRPr="004F6638" w:rsidTr="00DD7974">
        <w:tblPrEx>
          <w:tblCellMar>
            <w:top w:w="0" w:type="dxa"/>
            <w:left w:w="0" w:type="dxa"/>
            <w:bottom w:w="0" w:type="dxa"/>
            <w:right w:w="0" w:type="dxa"/>
          </w:tblCellMar>
        </w:tblPrEx>
        <w:trPr>
          <w:jc w:val="center"/>
        </w:trPr>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Индивидуальный номер рабочего места</w:t>
            </w:r>
          </w:p>
        </w:tc>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рабоче го места и источников вредных и (или) опасных факторов произ</w:t>
            </w:r>
            <w:r w:rsidRPr="004F6638">
              <w:rPr>
                <w:rFonts w:ascii="Times New Roman" w:eastAsiaTheme="minorEastAsia" w:hAnsi="Times New Roman" w:cs="Times New Roman"/>
                <w:sz w:val="24"/>
                <w:szCs w:val="24"/>
                <w:lang w:eastAsia="ru-RU"/>
              </w:rPr>
              <w:lastRenderedPageBreak/>
              <w:t>водственной среды и трудового процесса</w:t>
            </w:r>
          </w:p>
        </w:tc>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Численность работников, занятых на данном рабочем мес</w:t>
            </w:r>
            <w:r w:rsidRPr="004F6638">
              <w:rPr>
                <w:rFonts w:ascii="Times New Roman" w:eastAsiaTheme="minorEastAsia" w:hAnsi="Times New Roman" w:cs="Times New Roman"/>
                <w:sz w:val="24"/>
                <w:szCs w:val="24"/>
                <w:lang w:eastAsia="ru-RU"/>
              </w:rPr>
              <w:lastRenderedPageBreak/>
              <w:t>те (чел.)</w:t>
            </w:r>
          </w:p>
        </w:tc>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Наличие аналогичного рабоче го места (рабочих мест)</w:t>
            </w:r>
          </w:p>
        </w:tc>
        <w:tc>
          <w:tcPr>
            <w:tcW w:w="7200" w:type="dxa"/>
            <w:gridSpan w:val="16"/>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(час.)</w:t>
            </w:r>
          </w:p>
        </w:tc>
      </w:tr>
      <w:tr w:rsidR="004F6638" w:rsidRPr="004F6638" w:rsidTr="00DD7974">
        <w:tblPrEx>
          <w:tblCellMar>
            <w:top w:w="0" w:type="dxa"/>
            <w:left w:w="0" w:type="dxa"/>
            <w:bottom w:w="0" w:type="dxa"/>
            <w:right w:w="0" w:type="dxa"/>
          </w:tblCellMar>
        </w:tblPrEx>
        <w:trPr>
          <w:jc w:val="center"/>
        </w:trPr>
        <w:tc>
          <w:tcPr>
            <w:tcW w:w="45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Химический фактор</w:t>
            </w:r>
          </w:p>
        </w:tc>
        <w:tc>
          <w:tcPr>
            <w:tcW w:w="4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Биологический фактор</w:t>
            </w:r>
          </w:p>
        </w:tc>
        <w:tc>
          <w:tcPr>
            <w:tcW w:w="6300" w:type="dxa"/>
            <w:gridSpan w:val="1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Физические факторы</w:t>
            </w:r>
          </w:p>
        </w:tc>
      </w:tr>
      <w:tr w:rsidR="004F6638" w:rsidRPr="004F6638" w:rsidTr="00DD7974">
        <w:tblPrEx>
          <w:tblCellMar>
            <w:top w:w="0" w:type="dxa"/>
            <w:left w:w="0" w:type="dxa"/>
            <w:bottom w:w="0" w:type="dxa"/>
            <w:right w:w="0" w:type="dxa"/>
          </w:tblCellMar>
        </w:tblPrEx>
        <w:trPr>
          <w:jc w:val="center"/>
        </w:trPr>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Аэрозоли преимущественно фиброгенного действия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Электромагнитные поля фактора "Неионизирующие поля и излуч</w:t>
            </w:r>
            <w:r w:rsidRPr="004F6638">
              <w:rPr>
                <w:rFonts w:ascii="Times New Roman" w:eastAsiaTheme="minorEastAsia" w:hAnsi="Times New Roman" w:cs="Times New Roman"/>
                <w:sz w:val="24"/>
                <w:szCs w:val="24"/>
                <w:lang w:eastAsia="ru-RU"/>
              </w:rPr>
              <w:lastRenderedPageBreak/>
              <w:t>ения"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Ультрафиолетовое излучение фактора "Неионизирующие поля </w:t>
            </w:r>
            <w:r w:rsidRPr="004F6638">
              <w:rPr>
                <w:rFonts w:ascii="Times New Roman" w:eastAsiaTheme="minorEastAsia" w:hAnsi="Times New Roman" w:cs="Times New Roman"/>
                <w:sz w:val="24"/>
                <w:szCs w:val="24"/>
                <w:lang w:eastAsia="ru-RU"/>
              </w:rPr>
              <w:lastRenderedPageBreak/>
              <w:t>и излучения"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Лазерное излучение фактора "Неионизирующие поля и излуч</w:t>
            </w:r>
            <w:r w:rsidRPr="004F6638">
              <w:rPr>
                <w:rFonts w:ascii="Times New Roman" w:eastAsiaTheme="minorEastAsia" w:hAnsi="Times New Roman" w:cs="Times New Roman"/>
                <w:sz w:val="24"/>
                <w:szCs w:val="24"/>
                <w:lang w:eastAsia="ru-RU"/>
              </w:rPr>
              <w:lastRenderedPageBreak/>
              <w:t>ения"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Ионизирующие излучения</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Микроклимат</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Световая среда</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Тяжесть трудового процесса</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Напряженность трудового процесса</w:t>
            </w:r>
          </w:p>
        </w:tc>
      </w:tr>
      <w:tr w:rsidR="004F6638" w:rsidRPr="004F6638" w:rsidTr="00DD7974">
        <w:tblPrEx>
          <w:tblCellMar>
            <w:top w:w="0" w:type="dxa"/>
            <w:left w:w="0" w:type="dxa"/>
            <w:bottom w:w="0" w:type="dxa"/>
            <w:right w:w="0" w:type="dxa"/>
          </w:tblCellMar>
        </w:tblPrEx>
        <w:trPr>
          <w:jc w:val="center"/>
        </w:trPr>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1</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w:t>
            </w:r>
          </w:p>
        </w:tc>
      </w:tr>
      <w:tr w:rsidR="004F6638" w:rsidRPr="004F6638" w:rsidTr="00DD7974">
        <w:tblPrEx>
          <w:tblCellMar>
            <w:top w:w="0" w:type="dxa"/>
            <w:left w:w="0" w:type="dxa"/>
            <w:bottom w:w="0" w:type="dxa"/>
            <w:right w:w="0" w:type="dxa"/>
          </w:tblCellMar>
        </w:tblPrEx>
        <w:trPr>
          <w:jc w:val="center"/>
        </w:trPr>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Председатель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Члены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Эксперт (эксперты) организации, проводившей специальную оценку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Раздел III. Форма карты специальной оценки условий труда работников</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50"/>
        <w:gridCol w:w="1700"/>
        <w:gridCol w:w="1700"/>
        <w:gridCol w:w="1746"/>
        <w:gridCol w:w="1700"/>
        <w:gridCol w:w="1700"/>
        <w:gridCol w:w="250"/>
      </w:tblGrid>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single" w:sz="6" w:space="0" w:color="auto"/>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7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single" w:sz="6" w:space="0" w:color="auto"/>
              <w:left w:val="nil"/>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single" w:sz="6" w:space="0" w:color="auto"/>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8500" w:type="dxa"/>
            <w:gridSpan w:val="5"/>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(полное наименование работодателя)</w:t>
            </w:r>
          </w:p>
        </w:tc>
        <w:tc>
          <w:tcPr>
            <w:tcW w:w="250" w:type="dxa"/>
            <w:tcBorders>
              <w:top w:val="nil"/>
              <w:left w:val="nil"/>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single" w:sz="6" w:space="0" w:color="auto"/>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single" w:sz="6" w:space="0" w:color="auto"/>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8500" w:type="dxa"/>
            <w:gridSpan w:val="5"/>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(адрес в пределах места нахождения работодателя, фамилия, имя, отчество (при наличии) руководителя, адрес электронной почты)</w:t>
            </w:r>
          </w:p>
        </w:tc>
        <w:tc>
          <w:tcPr>
            <w:tcW w:w="250" w:type="dxa"/>
            <w:tcBorders>
              <w:top w:val="nil"/>
              <w:left w:val="nil"/>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single" w:sz="6" w:space="0" w:color="auto"/>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single" w:sz="6" w:space="0" w:color="auto"/>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nil"/>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ИНН работодателя</w:t>
            </w:r>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Код работодателя по ОКПО</w:t>
            </w:r>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Код органа государственной власти по </w:t>
            </w:r>
            <w:hyperlink r:id="rId210" w:history="1">
              <w:r w:rsidRPr="004F6638">
                <w:rPr>
                  <w:rFonts w:ascii="Times New Roman" w:eastAsiaTheme="minorEastAsia" w:hAnsi="Times New Roman" w:cs="Times New Roman"/>
                  <w:sz w:val="24"/>
                  <w:szCs w:val="24"/>
                  <w:u w:val="single"/>
                  <w:lang w:eastAsia="ru-RU"/>
                </w:rPr>
                <w:t>ОКОГУ</w:t>
              </w:r>
            </w:hyperlink>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Код вида экономической деятельности по </w:t>
            </w:r>
            <w:hyperlink r:id="rId211" w:history="1">
              <w:r w:rsidRPr="004F6638">
                <w:rPr>
                  <w:rFonts w:ascii="Times New Roman" w:eastAsiaTheme="minorEastAsia" w:hAnsi="Times New Roman" w:cs="Times New Roman"/>
                  <w:sz w:val="24"/>
                  <w:szCs w:val="24"/>
                  <w:u w:val="single"/>
                  <w:lang w:eastAsia="ru-RU"/>
                </w:rPr>
                <w:t>ОКВЭД</w:t>
              </w:r>
            </w:hyperlink>
          </w:p>
        </w:tc>
        <w:tc>
          <w:tcPr>
            <w:tcW w:w="1700" w:type="dxa"/>
            <w:tcBorders>
              <w:top w:val="single" w:sz="6" w:space="0" w:color="auto"/>
              <w:left w:val="single" w:sz="6" w:space="0" w:color="auto"/>
              <w:bottom w:val="single" w:sz="6" w:space="0" w:color="auto"/>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Код территории по </w:t>
            </w:r>
            <w:hyperlink r:id="rId212" w:history="1">
              <w:r w:rsidRPr="004F6638">
                <w:rPr>
                  <w:rFonts w:ascii="Times New Roman" w:eastAsiaTheme="minorEastAsia" w:hAnsi="Times New Roman" w:cs="Times New Roman"/>
                  <w:sz w:val="24"/>
                  <w:szCs w:val="24"/>
                  <w:u w:val="single"/>
                  <w:lang w:eastAsia="ru-RU"/>
                </w:rPr>
                <w:t>ОКТМО</w:t>
              </w:r>
            </w:hyperlink>
          </w:p>
        </w:tc>
        <w:tc>
          <w:tcPr>
            <w:tcW w:w="250" w:type="dxa"/>
            <w:tcBorders>
              <w:top w:val="single" w:sz="6" w:space="0" w:color="auto"/>
              <w:left w:val="nil"/>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single" w:sz="6" w:space="0" w:color="auto"/>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w:t>
            </w:r>
          </w:p>
        </w:tc>
        <w:tc>
          <w:tcPr>
            <w:tcW w:w="1700" w:type="dxa"/>
            <w:tcBorders>
              <w:top w:val="single" w:sz="6" w:space="0" w:color="auto"/>
              <w:left w:val="nil"/>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700" w:type="dxa"/>
            <w:tcBorders>
              <w:top w:val="single" w:sz="6" w:space="0" w:color="auto"/>
              <w:left w:val="single" w:sz="6" w:space="0" w:color="auto"/>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single" w:sz="6" w:space="0" w:color="auto"/>
              <w:left w:val="nil"/>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КАРТА N ________________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9000"/>
      </w:tblGrid>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профессии (должности) работника)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500"/>
        <w:gridCol w:w="250"/>
      </w:tblGrid>
      <w:tr w:rsidR="004F6638" w:rsidRPr="004F6638" w:rsidTr="00DD7974">
        <w:tblPrEx>
          <w:tblCellMar>
            <w:top w:w="0" w:type="dxa"/>
            <w:left w:w="0" w:type="dxa"/>
            <w:bottom w:w="0" w:type="dxa"/>
            <w:right w:w="0" w:type="dxa"/>
          </w:tblCellMar>
        </w:tblPrEx>
        <w:trPr>
          <w:jc w:val="center"/>
        </w:trPr>
        <w:tc>
          <w:tcPr>
            <w:tcW w:w="5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структурного подразделения</w:t>
            </w:r>
          </w:p>
        </w:tc>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550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и номера аналогичных рабочих мест</w:t>
            </w:r>
          </w:p>
        </w:tc>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010. Выпуск Единого тарифно-квалификационного справочника работ и профессий рабочих народного хозяйства СССР (ЕТКС), Единого квалификационного справочника должностей руководителей, специалистов и других служащих (ЕКС), наименование профессионального стандарта: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9000"/>
      </w:tblGrid>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(выпуск ETKC, раздел ЕКС, наименование профессионального стандарта, вид, реквизиты нормативного правового акта, которым утвержден)</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4750"/>
        <w:gridCol w:w="250"/>
      </w:tblGrid>
      <w:tr w:rsidR="004F6638" w:rsidRPr="004F6638" w:rsidTr="00DD7974">
        <w:tblPrEx>
          <w:tblCellMar>
            <w:top w:w="0" w:type="dxa"/>
            <w:left w:w="0" w:type="dxa"/>
            <w:bottom w:w="0" w:type="dxa"/>
            <w:right w:w="0" w:type="dxa"/>
          </w:tblCellMar>
        </w:tblPrEx>
        <w:trPr>
          <w:jc w:val="center"/>
        </w:trPr>
        <w:tc>
          <w:tcPr>
            <w:tcW w:w="47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011. Код профессии (должности):</w:t>
            </w:r>
          </w:p>
        </w:tc>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020. Численность работающих:</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6660"/>
        <w:gridCol w:w="2340"/>
      </w:tblGrid>
      <w:tr w:rsidR="004F6638" w:rsidRPr="004F6638" w:rsidTr="00DD7974">
        <w:tblPrEx>
          <w:tblCellMar>
            <w:top w:w="0" w:type="dxa"/>
            <w:left w:w="0" w:type="dxa"/>
            <w:bottom w:w="0" w:type="dxa"/>
            <w:right w:w="0" w:type="dxa"/>
          </w:tblCellMar>
        </w:tblPrEx>
        <w:trPr>
          <w:jc w:val="center"/>
        </w:trPr>
        <w:tc>
          <w:tcPr>
            <w:tcW w:w="66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 рабочем месте</w:t>
            </w:r>
          </w:p>
        </w:tc>
        <w:tc>
          <w:tcPr>
            <w:tcW w:w="23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6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 всех аналогичных рабочих местах</w:t>
            </w:r>
          </w:p>
        </w:tc>
        <w:tc>
          <w:tcPr>
            <w:tcW w:w="23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0"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из них:</w:t>
            </w:r>
          </w:p>
        </w:tc>
      </w:tr>
      <w:tr w:rsidR="004F6638" w:rsidRPr="004F6638" w:rsidTr="00DD7974">
        <w:tblPrEx>
          <w:tblCellMar>
            <w:top w:w="0" w:type="dxa"/>
            <w:left w:w="0" w:type="dxa"/>
            <w:bottom w:w="0" w:type="dxa"/>
            <w:right w:w="0" w:type="dxa"/>
          </w:tblCellMar>
        </w:tblPrEx>
        <w:trPr>
          <w:jc w:val="center"/>
        </w:trPr>
        <w:tc>
          <w:tcPr>
            <w:tcW w:w="66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женщин</w:t>
            </w:r>
          </w:p>
        </w:tc>
        <w:tc>
          <w:tcPr>
            <w:tcW w:w="23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6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лиц в возрасте до 18 лет</w:t>
            </w:r>
          </w:p>
        </w:tc>
        <w:tc>
          <w:tcPr>
            <w:tcW w:w="23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66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инвалидов, допущенных к выполнению работ на данном рабочем месте</w:t>
            </w:r>
          </w:p>
        </w:tc>
        <w:tc>
          <w:tcPr>
            <w:tcW w:w="23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021. СНИЛС работников:</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022. Используемое производственное оборудование:</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50"/>
      </w:tblGrid>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875"/>
        <w:gridCol w:w="250"/>
      </w:tblGrid>
      <w:tr w:rsidR="004F6638" w:rsidRPr="004F6638" w:rsidTr="00DD7974">
        <w:tblPrEx>
          <w:tblCellMar>
            <w:top w:w="0" w:type="dxa"/>
            <w:left w:w="0" w:type="dxa"/>
            <w:bottom w:w="0" w:type="dxa"/>
            <w:right w:w="0" w:type="dxa"/>
          </w:tblCellMar>
        </w:tblPrEx>
        <w:trPr>
          <w:jc w:val="center"/>
        </w:trPr>
        <w:tc>
          <w:tcPr>
            <w:tcW w:w="3875"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Используемые материалы и сырье:</w:t>
            </w:r>
          </w:p>
        </w:tc>
        <w:tc>
          <w:tcPr>
            <w:tcW w:w="25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125" w:type="dxa"/>
            <w:gridSpan w:val="2"/>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030. Оценка условий труда по вредным (опасным) факторам:</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4320"/>
        <w:gridCol w:w="1260"/>
        <w:gridCol w:w="1624"/>
        <w:gridCol w:w="1980"/>
      </w:tblGrid>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Наименование факторов производственной среды и трудового процесса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 класс) условий труда</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Эффективность СИЗ &lt;*&gt;, + / - /не оценивалась</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(подкласс) условий труда при эффективном использовании СИЗ</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Химический</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Биологический</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Аэрозоли преимущественно фиброгенного действия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Неионизирующие излучения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Ионизирующие излучения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Параметры микроклимата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Параметры световой среды</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Тяжесть трудового процесса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Напряженность трудового процесса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432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Итоговый класс (подкласс) условий труда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44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 заполняется</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w:t>
      </w:r>
    </w:p>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&lt;*&gt; Средства индивидуальной защиты</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040. Гарантии и компенсации, предоставляемые работнику (работникам), занятым на данном рабочем месте:</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250"/>
        <w:gridCol w:w="2050"/>
        <w:gridCol w:w="1938"/>
        <w:gridCol w:w="1937"/>
        <w:gridCol w:w="1937"/>
      </w:tblGrid>
      <w:tr w:rsidR="004F6638" w:rsidRPr="004F6638" w:rsidTr="00DD7974">
        <w:tblPrEx>
          <w:tblCellMar>
            <w:top w:w="0" w:type="dxa"/>
            <w:left w:w="0" w:type="dxa"/>
            <w:bottom w:w="0" w:type="dxa"/>
            <w:right w:w="0" w:type="dxa"/>
          </w:tblCellMar>
        </w:tblPrEx>
        <w:trPr>
          <w:jc w:val="center"/>
        </w:trPr>
        <w:tc>
          <w:tcPr>
            <w:tcW w:w="125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п/п</w:t>
            </w:r>
          </w:p>
        </w:tc>
        <w:tc>
          <w:tcPr>
            <w:tcW w:w="1938"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Виды гарантий и компенсаций</w:t>
            </w:r>
          </w:p>
        </w:tc>
        <w:tc>
          <w:tcPr>
            <w:tcW w:w="1938"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Фактическое наличие</w:t>
            </w:r>
          </w:p>
        </w:tc>
        <w:tc>
          <w:tcPr>
            <w:tcW w:w="3874" w:type="dxa"/>
            <w:gridSpan w:val="2"/>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 результатам оценки условий труда</w:t>
            </w:r>
          </w:p>
        </w:tc>
      </w:tr>
      <w:tr w:rsidR="004F6638" w:rsidRPr="004F6638" w:rsidTr="00DD7974">
        <w:tblPrEx>
          <w:tblCellMar>
            <w:top w:w="0" w:type="dxa"/>
            <w:left w:w="0" w:type="dxa"/>
            <w:bottom w:w="0" w:type="dxa"/>
            <w:right w:w="0" w:type="dxa"/>
          </w:tblCellMar>
        </w:tblPrEx>
        <w:trPr>
          <w:jc w:val="center"/>
        </w:trPr>
        <w:tc>
          <w:tcPr>
            <w:tcW w:w="125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38"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38"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Необходимость в установлении (да, нет)</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основание</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Повышенная оплата труда работника (работников)</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Ежегодный дополнительный оплачиваемый отпуск</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Сокращенная продолжительность рабочего времени</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Молоко или другие равноценные </w:t>
            </w:r>
            <w:r w:rsidRPr="004F6638">
              <w:rPr>
                <w:rFonts w:ascii="Times New Roman" w:eastAsiaTheme="minorEastAsia" w:hAnsi="Times New Roman" w:cs="Times New Roman"/>
                <w:sz w:val="24"/>
                <w:szCs w:val="24"/>
                <w:lang w:eastAsia="ru-RU"/>
              </w:rPr>
              <w:lastRenderedPageBreak/>
              <w:t>пищевые продукты</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5.</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Лечебно-профилактическое питание</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Проведение медицинских осмотров работников по результатам специальной оценки условий труда</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Право на досрочное назначение страховой пенсии</w:t>
            </w:r>
          </w:p>
        </w:tc>
        <w:tc>
          <w:tcPr>
            <w:tcW w:w="1938"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37"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Строка 050. Рекомендации по улучшению условий труда, по режимам труда и отдыха, по подбору работников:</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9000"/>
      </w:tblGrid>
      <w:tr w:rsidR="004F6638" w:rsidRPr="004F6638" w:rsidTr="00DD7974">
        <w:tblPrEx>
          <w:tblCellMar>
            <w:top w:w="0" w:type="dxa"/>
            <w:left w:w="0" w:type="dxa"/>
            <w:bottom w:w="0" w:type="dxa"/>
            <w:right w:w="0" w:type="dxa"/>
          </w:tblCellMar>
        </w:tblPrEx>
        <w:trPr>
          <w:jc w:val="center"/>
        </w:trPr>
        <w:tc>
          <w:tcPr>
            <w:tcW w:w="90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0" w:type="dxa"/>
            <w:tcBorders>
              <w:top w:val="single" w:sz="6" w:space="0" w:color="auto"/>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125"/>
        <w:gridCol w:w="250"/>
      </w:tblGrid>
      <w:tr w:rsidR="004F6638" w:rsidRPr="004F6638" w:rsidTr="00DD7974">
        <w:tblPrEx>
          <w:tblCellMar>
            <w:top w:w="0" w:type="dxa"/>
            <w:left w:w="0" w:type="dxa"/>
            <w:bottom w:w="0" w:type="dxa"/>
            <w:right w:w="0" w:type="dxa"/>
          </w:tblCellMar>
        </w:tblPrEx>
        <w:trPr>
          <w:jc w:val="center"/>
        </w:trPr>
        <w:tc>
          <w:tcPr>
            <w:tcW w:w="2125"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составления:</w:t>
            </w:r>
          </w:p>
        </w:tc>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Председатель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Члены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Эксперт (эксперты) организации, проводившей специальную оценку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313"/>
        <w:gridCol w:w="250"/>
        <w:gridCol w:w="1500"/>
        <w:gridCol w:w="250"/>
        <w:gridCol w:w="3937"/>
        <w:gridCol w:w="250"/>
        <w:gridCol w:w="1500"/>
      </w:tblGrid>
      <w:tr w:rsidR="004F6638" w:rsidRPr="004F6638" w:rsidTr="00DD7974">
        <w:tblPrEx>
          <w:tblCellMar>
            <w:top w:w="0" w:type="dxa"/>
            <w:left w:w="0" w:type="dxa"/>
            <w:bottom w:w="0" w:type="dxa"/>
            <w:right w:w="0" w:type="dxa"/>
          </w:tblCellMar>
        </w:tblPrEx>
        <w:trPr>
          <w:jc w:val="center"/>
        </w:trPr>
        <w:tc>
          <w:tcPr>
            <w:tcW w:w="1313"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937"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313"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937"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313"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937"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313"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937"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 результатами специальной оценки условий труда ознакомлен(ы):</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50"/>
        <w:gridCol w:w="250"/>
        <w:gridCol w:w="4125"/>
        <w:gridCol w:w="250"/>
        <w:gridCol w:w="4125"/>
      </w:tblGrid>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 работника)</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 работника)</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2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 работника)</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41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Раздел IV. Форма сводной ведомости результатов проведения специальной оценки условий труда</w:t>
      </w: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Сводная ведомость результатов проведения специальной оценки условий труда</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1</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15"/>
        <w:gridCol w:w="869"/>
        <w:gridCol w:w="1295"/>
        <w:gridCol w:w="870"/>
        <w:gridCol w:w="870"/>
        <w:gridCol w:w="846"/>
        <w:gridCol w:w="846"/>
        <w:gridCol w:w="846"/>
        <w:gridCol w:w="846"/>
        <w:gridCol w:w="870"/>
      </w:tblGrid>
      <w:tr w:rsidR="004F6638" w:rsidRPr="004F6638" w:rsidTr="00DD7974">
        <w:tblPrEx>
          <w:tblCellMar>
            <w:top w:w="0" w:type="dxa"/>
            <w:left w:w="0" w:type="dxa"/>
            <w:bottom w:w="0" w:type="dxa"/>
            <w:right w:w="0" w:type="dxa"/>
          </w:tblCellMar>
        </w:tblPrEx>
        <w:trPr>
          <w:jc w:val="center"/>
        </w:trPr>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w:t>
            </w:r>
          </w:p>
        </w:tc>
        <w:tc>
          <w:tcPr>
            <w:tcW w:w="1800" w:type="dxa"/>
            <w:gridSpan w:val="2"/>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рабочих мест и численность работников, занятых на этих рабочих местах</w:t>
            </w:r>
          </w:p>
        </w:tc>
        <w:tc>
          <w:tcPr>
            <w:tcW w:w="6300" w:type="dxa"/>
            <w:gridSpan w:val="7"/>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Количество рабочих мест и численность занятых на них работников по классам (подклассам) условий труда из числа рабочих мест, указанных в графе 3 (единиц)</w:t>
            </w:r>
          </w:p>
        </w:tc>
      </w:tr>
      <w:tr w:rsidR="004F6638" w:rsidRPr="004F6638" w:rsidTr="00DD7974">
        <w:tblPrEx>
          <w:tblCellMar>
            <w:top w:w="0" w:type="dxa"/>
            <w:left w:w="0" w:type="dxa"/>
            <w:bottom w:w="0" w:type="dxa"/>
            <w:right w:w="0" w:type="dxa"/>
          </w:tblCellMar>
        </w:tblPrEx>
        <w:trPr>
          <w:jc w:val="center"/>
        </w:trPr>
        <w:tc>
          <w:tcPr>
            <w:tcW w:w="900" w:type="dxa"/>
            <w:vMerge/>
            <w:tcBorders>
              <w:top w:val="nil"/>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800" w:type="dxa"/>
            <w:gridSpan w:val="2"/>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1</w:t>
            </w:r>
          </w:p>
        </w:tc>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2</w:t>
            </w:r>
          </w:p>
        </w:tc>
        <w:tc>
          <w:tcPr>
            <w:tcW w:w="3600" w:type="dxa"/>
            <w:gridSpan w:val="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3</w:t>
            </w:r>
          </w:p>
        </w:tc>
        <w:tc>
          <w:tcPr>
            <w:tcW w:w="900"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 4</w:t>
            </w:r>
          </w:p>
        </w:tc>
      </w:tr>
      <w:tr w:rsidR="004F6638" w:rsidRPr="004F6638" w:rsidTr="00DD7974">
        <w:tblPrEx>
          <w:tblCellMar>
            <w:top w:w="0" w:type="dxa"/>
            <w:left w:w="0" w:type="dxa"/>
            <w:bottom w:w="0" w:type="dxa"/>
            <w:right w:w="0" w:type="dxa"/>
          </w:tblCellMar>
        </w:tblPrEx>
        <w:trPr>
          <w:jc w:val="center"/>
        </w:trPr>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всего</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том числе на которых проведена специальная оценка условий труда</w:t>
            </w:r>
          </w:p>
        </w:tc>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3.1</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3.2</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3.4</w:t>
            </w:r>
          </w:p>
        </w:tc>
        <w:tc>
          <w:tcPr>
            <w:tcW w:w="900"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w:t>
            </w: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Рабочие места (ед.)</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Работники, занятые на рабочих местах (чел.)</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из них женщин</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из них лиц в возрасте до 18 лет</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из них инвалидов</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9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Таблица 2</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477"/>
        <w:gridCol w:w="1014"/>
        <w:gridCol w:w="349"/>
        <w:gridCol w:w="419"/>
        <w:gridCol w:w="495"/>
        <w:gridCol w:w="148"/>
        <w:gridCol w:w="307"/>
        <w:gridCol w:w="319"/>
        <w:gridCol w:w="275"/>
        <w:gridCol w:w="284"/>
        <w:gridCol w:w="493"/>
        <w:gridCol w:w="432"/>
        <w:gridCol w:w="396"/>
        <w:gridCol w:w="313"/>
        <w:gridCol w:w="284"/>
        <w:gridCol w:w="431"/>
        <w:gridCol w:w="279"/>
        <w:gridCol w:w="390"/>
        <w:gridCol w:w="379"/>
        <w:gridCol w:w="462"/>
        <w:gridCol w:w="541"/>
        <w:gridCol w:w="364"/>
        <w:gridCol w:w="508"/>
        <w:gridCol w:w="314"/>
      </w:tblGrid>
      <w:tr w:rsidR="004F6638" w:rsidRPr="004F6638" w:rsidTr="00DD7974">
        <w:tblPrEx>
          <w:tblCellMar>
            <w:top w:w="0" w:type="dxa"/>
            <w:left w:w="0" w:type="dxa"/>
            <w:bottom w:w="0" w:type="dxa"/>
            <w:right w:w="0" w:type="dxa"/>
          </w:tblCellMar>
        </w:tblPrEx>
        <w:trPr>
          <w:jc w:val="center"/>
        </w:trPr>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Индивидуальный номер рабочего места</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Профессия/должность/специальность работника</w:t>
            </w:r>
          </w:p>
        </w:tc>
        <w:tc>
          <w:tcPr>
            <w:tcW w:w="5250" w:type="dxa"/>
            <w:gridSpan w:val="14"/>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Классы (подклассы) условий труда</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Итоговый класс (под класс) условий труда</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Итоговый класс (подкласс) условий труда с учетом эффективного применения СИЗ</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Повышенный размер оплаты труда (да/нет)</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Ежегодный дополнительный оплачиваемый отпуск (да/нет)</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Сокращенная продолжительность рабочего времени (да/нет)</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Молоко или другие равноценные пищевые продукты (да/нет)</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Лечебно-профилактическое питание (да/нет)</w:t>
            </w:r>
          </w:p>
        </w:tc>
        <w:tc>
          <w:tcPr>
            <w:tcW w:w="375" w:type="dxa"/>
            <w:vMerge w:val="restart"/>
            <w:tcBorders>
              <w:top w:val="single" w:sz="6" w:space="0" w:color="auto"/>
              <w:left w:val="single" w:sz="6" w:space="0" w:color="auto"/>
              <w:bottom w:val="nil"/>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Право на досрочное назначение страховой пенсии (да/нет)</w:t>
            </w:r>
          </w:p>
        </w:tc>
      </w:tr>
      <w:tr w:rsidR="004F6638" w:rsidRPr="004F6638" w:rsidTr="00DD7974">
        <w:tblPrEx>
          <w:tblCellMar>
            <w:top w:w="0" w:type="dxa"/>
            <w:left w:w="0" w:type="dxa"/>
            <w:bottom w:w="0" w:type="dxa"/>
            <w:right w:w="0" w:type="dxa"/>
          </w:tblCellMar>
        </w:tblPrEx>
        <w:trPr>
          <w:jc w:val="center"/>
        </w:trPr>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Химический</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Биологический</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Аэрозоли преимущественно фиброгенного действия</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Шум</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Инфразвук</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Ультразвук воздушный</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общая</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Вибрация локальная</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Неионизирующие излучения</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Ионизирующие излучения</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Параметры микроклимата</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Параметры световой среды</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Тяжесть трудового процесса</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Напряженность трудового процесса</w:t>
            </w: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 w:type="dxa"/>
            <w:vMerge/>
            <w:tcBorders>
              <w:top w:val="nil"/>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4F6638" w:rsidRPr="004F6638" w:rsidTr="00DD7974">
        <w:tblPrEx>
          <w:tblCellMar>
            <w:top w:w="0" w:type="dxa"/>
            <w:left w:w="0" w:type="dxa"/>
            <w:bottom w:w="0" w:type="dxa"/>
            <w:right w:w="0" w:type="dxa"/>
          </w:tblCellMar>
        </w:tblPrEx>
        <w:trPr>
          <w:jc w:val="center"/>
        </w:trPr>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14</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15</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16</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17</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18</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19</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20</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21</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22</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23</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24</w:t>
            </w:r>
          </w:p>
        </w:tc>
      </w:tr>
      <w:tr w:rsidR="004F6638" w:rsidRPr="004F6638" w:rsidTr="00DD7974">
        <w:tblPrEx>
          <w:tblCellMar>
            <w:top w:w="0" w:type="dxa"/>
            <w:left w:w="0" w:type="dxa"/>
            <w:bottom w:w="0" w:type="dxa"/>
            <w:right w:w="0" w:type="dxa"/>
          </w:tblCellMar>
        </w:tblPrEx>
        <w:trPr>
          <w:jc w:val="center"/>
        </w:trPr>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составления:</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Председатель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Члены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Эксперт (эксперты) организации, проводившей специальную оценку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625"/>
        <w:gridCol w:w="250"/>
        <w:gridCol w:w="1500"/>
        <w:gridCol w:w="250"/>
        <w:gridCol w:w="2625"/>
        <w:gridCol w:w="250"/>
        <w:gridCol w:w="1500"/>
      </w:tblGrid>
      <w:tr w:rsidR="004F6638" w:rsidRPr="004F6638" w:rsidTr="00DD7974">
        <w:tblPrEx>
          <w:tblCellMar>
            <w:top w:w="0" w:type="dxa"/>
            <w:left w:w="0" w:type="dxa"/>
            <w:bottom w:w="0" w:type="dxa"/>
            <w:right w:w="0" w:type="dxa"/>
          </w:tblCellMar>
        </w:tblPrEx>
        <w:trPr>
          <w:jc w:val="center"/>
        </w:trPr>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4F6638">
        <w:rPr>
          <w:rFonts w:ascii="Times New Roman" w:eastAsiaTheme="minorEastAsia" w:hAnsi="Times New Roman" w:cs="Times New Roman"/>
          <w:b/>
          <w:bCs/>
          <w:sz w:val="32"/>
          <w:szCs w:val="32"/>
          <w:lang w:eastAsia="ru-RU"/>
        </w:rPr>
        <w:t>Раздел V. Форма перечня рекомендуемых мероприятий по улучшению условий труда</w:t>
      </w: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Перечень рекомендуемых мероприятий по улучшению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800"/>
        <w:gridCol w:w="1514"/>
        <w:gridCol w:w="1350"/>
        <w:gridCol w:w="1350"/>
        <w:gridCol w:w="1980"/>
        <w:gridCol w:w="1279"/>
      </w:tblGrid>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структурного подразделения, рабочего места</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Наименование мероприятия</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Цель мероприятия</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Срок выполнения</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Структурные подразделения, привлекаемые для выполнения мероприятия</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Отметка о выполнении</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w:t>
            </w:r>
          </w:p>
        </w:tc>
      </w:tr>
      <w:tr w:rsidR="004F6638" w:rsidRPr="004F6638" w:rsidTr="00DD7974">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98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260" w:type="dxa"/>
            <w:tcBorders>
              <w:top w:val="single" w:sz="6" w:space="0" w:color="auto"/>
              <w:left w:val="single" w:sz="6" w:space="0" w:color="auto"/>
              <w:bottom w:val="single" w:sz="6" w:space="0" w:color="auto"/>
              <w:right w:val="single" w:sz="6" w:space="0" w:color="auto"/>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 составления:</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Председатель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Члены комиссии по проведению специальной оценки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500"/>
        <w:gridCol w:w="250"/>
        <w:gridCol w:w="1500"/>
        <w:gridCol w:w="250"/>
        <w:gridCol w:w="3750"/>
        <w:gridCol w:w="250"/>
        <w:gridCol w:w="1500"/>
      </w:tblGrid>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(должность)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375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Эксперт (эксперты) организации, проводившей специальную оценку условий труда:</w:t>
      </w:r>
    </w:p>
    <w:p w:rsidR="004F6638" w:rsidRPr="004F6638" w:rsidRDefault="004F6638" w:rsidP="004F6638">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625"/>
        <w:gridCol w:w="250"/>
        <w:gridCol w:w="1500"/>
        <w:gridCol w:w="250"/>
        <w:gridCol w:w="2625"/>
        <w:gridCol w:w="250"/>
        <w:gridCol w:w="1500"/>
      </w:tblGrid>
      <w:tr w:rsidR="004F6638" w:rsidRPr="004F6638" w:rsidTr="00DD7974">
        <w:tblPrEx>
          <w:tblCellMar>
            <w:top w:w="0" w:type="dxa"/>
            <w:left w:w="0" w:type="dxa"/>
            <w:bottom w:w="0" w:type="dxa"/>
            <w:right w:w="0" w:type="dxa"/>
          </w:tblCellMar>
        </w:tblPrEx>
        <w:trPr>
          <w:jc w:val="center"/>
        </w:trPr>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r w:rsidR="004F6638" w:rsidRPr="004F6638" w:rsidTr="00DD7974">
        <w:tblPrEx>
          <w:tblCellMar>
            <w:top w:w="0" w:type="dxa"/>
            <w:left w:w="0" w:type="dxa"/>
            <w:bottom w:w="0" w:type="dxa"/>
            <w:right w:w="0" w:type="dxa"/>
          </w:tblCellMar>
        </w:tblPrEx>
        <w:trPr>
          <w:jc w:val="center"/>
        </w:trPr>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nil"/>
              <w:left w:val="nil"/>
              <w:bottom w:val="single" w:sz="6" w:space="0" w:color="auto"/>
              <w:right w:val="nil"/>
            </w:tcBorders>
          </w:tcPr>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r>
      <w:tr w:rsidR="004F6638" w:rsidRPr="004F6638" w:rsidTr="00DD7974">
        <w:tblPrEx>
          <w:tblCellMar>
            <w:top w:w="0" w:type="dxa"/>
            <w:left w:w="0" w:type="dxa"/>
            <w:bottom w:w="0" w:type="dxa"/>
            <w:right w:w="0" w:type="dxa"/>
          </w:tblCellMar>
        </w:tblPrEx>
        <w:trPr>
          <w:jc w:val="center"/>
        </w:trPr>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(N в реестре экспертов)</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(подпись)</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2625"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(фамилия, имя, отчество (при наличии)</w:t>
            </w:r>
          </w:p>
        </w:tc>
        <w:tc>
          <w:tcPr>
            <w:tcW w:w="250" w:type="dxa"/>
            <w:tcBorders>
              <w:top w:val="nil"/>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w:t>
            </w:r>
          </w:p>
        </w:tc>
        <w:tc>
          <w:tcPr>
            <w:tcW w:w="1500" w:type="dxa"/>
            <w:tcBorders>
              <w:top w:val="single" w:sz="6" w:space="0" w:color="auto"/>
              <w:left w:val="nil"/>
              <w:bottom w:val="nil"/>
              <w:right w:val="nil"/>
            </w:tcBorders>
          </w:tcPr>
          <w:p w:rsidR="004F6638" w:rsidRPr="004F6638" w:rsidRDefault="004F6638" w:rsidP="004F663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(дата)</w:t>
            </w:r>
          </w:p>
        </w:tc>
      </w:tr>
    </w:tbl>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Приложение N 4</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к приказу Министерства труда</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и социальной защиты</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Российской Федерации</w:t>
      </w:r>
    </w:p>
    <w:p w:rsidR="004F6638" w:rsidRPr="004F6638" w:rsidRDefault="004F6638" w:rsidP="004F6638">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i/>
          <w:iCs/>
          <w:sz w:val="24"/>
          <w:szCs w:val="24"/>
          <w:lang w:eastAsia="ru-RU"/>
        </w:rPr>
        <w:t>от 21 ноября 2023 г. N 817н</w:t>
      </w:r>
    </w:p>
    <w:p w:rsidR="004F6638" w:rsidRPr="004F6638" w:rsidRDefault="004F6638" w:rsidP="004F663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6638" w:rsidRPr="004F6638" w:rsidRDefault="004F6638" w:rsidP="004F6638">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4F6638">
        <w:rPr>
          <w:rFonts w:ascii="Times New Roman" w:eastAsiaTheme="minorEastAsia" w:hAnsi="Times New Roman" w:cs="Times New Roman"/>
          <w:b/>
          <w:bCs/>
          <w:sz w:val="36"/>
          <w:szCs w:val="36"/>
          <w:lang w:eastAsia="ru-RU"/>
        </w:rPr>
        <w:t>ИНСТРУКЦИЯ ПО ЗАПОЛНЕНИЮ ФОРМЫ ОТЧЕТА О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1. Отчет о проведении специальной оценки условий труда, форма которого утверждается в порядке, установленном Федеральным законом </w:t>
      </w:r>
      <w:hyperlink r:id="rId213" w:history="1">
        <w:r w:rsidRPr="004F6638">
          <w:rPr>
            <w:rFonts w:ascii="Times New Roman" w:eastAsiaTheme="minorEastAsia" w:hAnsi="Times New Roman" w:cs="Times New Roman"/>
            <w:sz w:val="24"/>
            <w:szCs w:val="24"/>
            <w:u w:val="single"/>
            <w:lang w:eastAsia="ru-RU"/>
          </w:rPr>
          <w:t>от 28 декабря 2013 г. N 426-ФЗ</w:t>
        </w:r>
      </w:hyperlink>
      <w:r w:rsidRPr="004F6638">
        <w:rPr>
          <w:rFonts w:ascii="Times New Roman" w:eastAsiaTheme="minorEastAsia" w:hAnsi="Times New Roman" w:cs="Times New Roman"/>
          <w:sz w:val="24"/>
          <w:szCs w:val="24"/>
          <w:lang w:eastAsia="ru-RU"/>
        </w:rPr>
        <w:t xml:space="preserve"> "О специальной оценке условий труда" (далее - Отчет), оформляется организацией, проводившей специальную оценку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2. При заполнении титульного листа Отчета в заголовке указываются полное наименование работодателя, адрес в пределах места его нахождения и адрес осуществления им деятельности, идентификационный номер налогоплательщика (ИНН), код причины постановки на учет в налоговом органе (КПП) в соответствии со свидетельством о постановке на учет работодателя в налоговом органе по месту его нахождения, основной государственный регистрационный номер (ОГРН) в соответствии со свидетельством о государственной регистрации работодателя и код основного вида экономической деятельности работодателя согласно общероссийскому </w:t>
      </w:r>
      <w:hyperlink r:id="rId214" w:history="1">
        <w:r w:rsidRPr="004F6638">
          <w:rPr>
            <w:rFonts w:ascii="Times New Roman" w:eastAsiaTheme="minorEastAsia" w:hAnsi="Times New Roman" w:cs="Times New Roman"/>
            <w:sz w:val="24"/>
            <w:szCs w:val="24"/>
            <w:u w:val="single"/>
            <w:lang w:eastAsia="ru-RU"/>
          </w:rPr>
          <w:t>классификатору</w:t>
        </w:r>
      </w:hyperlink>
      <w:r w:rsidRPr="004F6638">
        <w:rPr>
          <w:rFonts w:ascii="Times New Roman" w:eastAsiaTheme="minorEastAsia" w:hAnsi="Times New Roman" w:cs="Times New Roman"/>
          <w:sz w:val="24"/>
          <w:szCs w:val="24"/>
          <w:lang w:eastAsia="ru-RU"/>
        </w:rPr>
        <w:t xml:space="preserve"> видов экономической деятельности (ОКВЭД). Кроме того, на титульном листе указываются фамилии, имена, отчества (при наличии) председателя, утверждающего Отчет, и членов комиссии по проведению специальной оценки условий труда, удостоверенные их подписями с указанием даты подписания Отчета. Член комиссии по проведению специальной оценки условий труда, который не согласен с результатами проведения специальной оценки условий труда, подписывает отчет с пометкой "особое мнение".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При заполнении раздела I Отчета: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 пункте 1 указывается полное наименование организации, проводившей специальную оценку условий труда (далее - организация) в соответствии с ее уставными документами;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 пункте 2 указываются адрес в пределах места нахождения и осуществления деятельности организации, контактный телефон, адрес электронной почты;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в пунктах 3 и 4 указываются номер и дата внесения организации в реестр организаций, проводящих специальную оценку условий труда, соответственно;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4) в пункте 5 указывается идентификационный номер налогоплательщика (ИНН) в </w:t>
      </w:r>
      <w:r w:rsidRPr="004F6638">
        <w:rPr>
          <w:rFonts w:ascii="Times New Roman" w:eastAsiaTheme="minorEastAsia" w:hAnsi="Times New Roman" w:cs="Times New Roman"/>
          <w:sz w:val="24"/>
          <w:szCs w:val="24"/>
          <w:lang w:eastAsia="ru-RU"/>
        </w:rPr>
        <w:lastRenderedPageBreak/>
        <w:t>соответствии со свидетельством о постановке на учет организации в налоговом органе по месту ее нахождения;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в пункте 6 указывается основной государственный регистрационный номер (ОГРН) в соответствии со свидетельством о государственной регистрации организации;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в таблице пункта 7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 регистрационный номер аттестата аккредитации организации;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дата выдачи (число, месяц (прописью), год) аттестата аккредитации организации;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 дата истечения срока действия (число, месяц (прописью), год) аттестата аккредитации организации;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в таблице пункта 8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 порядковый номер эксперта или иного работника организации, участвовавшего в проведении специальной оценки условий труда (далее - эксперт (работник);</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дата проведения измерений (цифрами, в формате ДД.ММ.ГГГГ); Дата проведения измерений заносится в каждый пункт строки таблицы. В случае если измерения осуществлялись непрерывно одним и тем же экспертом (работником), в соответствующей строке указывается период проведения измерений данным экспертом (работником) - дата начала и дата окончания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3, 4 - соответственно фамилия, имя, отчество (при наличии) полностью, должность эксперта (работника);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5 - 7 - соответственно номер сертификата эксперта на право выполнения работ по специальной оценке условий труда, дата его выдачи (число, месяц (прописью), год) и регистрационный номер в реестре экспертов организаций, проводящих специальную оценку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8) в таблице пункта 9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 порядковый номер средства измерений испытательной лаборатории (центра), использовавшегося при проведении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дата проведения измерений (цифрами, в формате ДД.ММ.ГГГГ);</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 наименование вредного и (или) опасного фактора производственной среды и трудового процесса;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4 - наименование средства измерения в соответствии с паспортом на него;</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5 - регистрационный номер средства измерений в Государственном реестре средств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6 - заводской номер средства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7 - дата окончания срока поверки средства измерений.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Сведения подписываются руководителем организации с указанием фамилии, имени, отчества (при наличии) полностью и даты подписания (число, месяц (прописью), год) и заверяются печатью организации (при наличии).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При заполнении раздела II Отчета: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1) в таблице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 индивидуальный номер рабочего места (не более 8 знаков: от 1 до 99 999 999), который при внеплановой и (или) повторной специальной оценке условий труда должен полностью совпадать с первоначально указанным для данного рабочего места. Аналогичные рабочие места обозначаются номером с добавлением прописной буквы "А" (365, 1245А и другие).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наименование рабочего места с указанием в родительном падеже наименования должности, профессии или специальности работника, занятых на данном рабочем месте, в соответствии со штатным расписанием и квалификационными справочниками, общероссийским классификаторам или профессиональными стандартами, а также имеющихся на рабочем месте источников вредных и (или) опасных факторов производственной среды и трудового процесса ("рабочее место наладчика асбестоцементного оборудования", "рабочее место аккумуляторщика"; "гальваническая ванна", "термическое оборудование" и другие);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 цифрами число работников, занятых на данном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4 - наличие аналогичного рабочего места (рабочих мест) с указанием их индивидуальных номеров;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с 5 по 20 - результаты идентификации потенциально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При этом если на рабочем месте идентифицированы вредные и (или) опасные факторы производственной среды и трудового процесса, то на пересечении соответствующих строки и столбца указывается продолжительность воздействия соответствующего фактора (в часах), если на рабочем месте не идентифицированы вредные и (или) опасные факторы производственной среды и трудового процесса, то на пересечении соответствующих строки и столбца таблицы проставляется знак "-";</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раздел II Отчета подписывается председателем, членами комиссии по проведению специальной оценки условий труда и экспертом (экспертами) организации, при этом указываются фамилии, имена, отчества (при наличии) указанных лиц, удостоверенные их подписями с указанием даты подписания.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При заполнении раздела III Отчета: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 таблице, содержащей сведения о работодателе: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первой строке указываются полное наименование работодателя, адрес в пределах места нахождения работодателя, фамилия, имя, отчество (при наличии) руководителя, адрес электронной почты;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во второй строке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 идентификационный номер налогоплательщика (ИНН) в соответствии со свидетельством о постановке на учет работодателя в налоговом органе по месту его нахождения;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код работодателя в общероссийском классификаторе предприятий и организаций;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графе 3 - код органа государственной власти в соответствии с общероссийским </w:t>
      </w:r>
      <w:hyperlink r:id="rId215" w:history="1">
        <w:r w:rsidRPr="004F6638">
          <w:rPr>
            <w:rFonts w:ascii="Times New Roman" w:eastAsiaTheme="minorEastAsia" w:hAnsi="Times New Roman" w:cs="Times New Roman"/>
            <w:sz w:val="24"/>
            <w:szCs w:val="24"/>
            <w:u w:val="single"/>
            <w:lang w:eastAsia="ru-RU"/>
          </w:rPr>
          <w:t>классификатором</w:t>
        </w:r>
      </w:hyperlink>
      <w:r w:rsidRPr="004F6638">
        <w:rPr>
          <w:rFonts w:ascii="Times New Roman" w:eastAsiaTheme="minorEastAsia" w:hAnsi="Times New Roman" w:cs="Times New Roman"/>
          <w:sz w:val="24"/>
          <w:szCs w:val="24"/>
          <w:lang w:eastAsia="ru-RU"/>
        </w:rPr>
        <w:t xml:space="preserve"> органов государственной власти и управления;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lastRenderedPageBreak/>
        <w:t xml:space="preserve">в графе 4 - код вида экономической деятельности работодателя согласно общероссийскому </w:t>
      </w:r>
      <w:hyperlink r:id="rId216" w:history="1">
        <w:r w:rsidRPr="004F6638">
          <w:rPr>
            <w:rFonts w:ascii="Times New Roman" w:eastAsiaTheme="minorEastAsia" w:hAnsi="Times New Roman" w:cs="Times New Roman"/>
            <w:sz w:val="24"/>
            <w:szCs w:val="24"/>
            <w:u w:val="single"/>
            <w:lang w:eastAsia="ru-RU"/>
          </w:rPr>
          <w:t>классификатору</w:t>
        </w:r>
      </w:hyperlink>
      <w:r w:rsidRPr="004F6638">
        <w:rPr>
          <w:rFonts w:ascii="Times New Roman" w:eastAsiaTheme="minorEastAsia" w:hAnsi="Times New Roman" w:cs="Times New Roman"/>
          <w:sz w:val="24"/>
          <w:szCs w:val="24"/>
          <w:lang w:eastAsia="ru-RU"/>
        </w:rPr>
        <w:t xml:space="preserve"> видов экономической деятельности;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графе 5 - код муниципального образования и населенного пункта, на территории которого работодатель находится и (или) осуществляет свою деятельность, по общероссийскому </w:t>
      </w:r>
      <w:hyperlink r:id="rId217" w:history="1">
        <w:r w:rsidRPr="004F6638">
          <w:rPr>
            <w:rFonts w:ascii="Times New Roman" w:eastAsiaTheme="minorEastAsia" w:hAnsi="Times New Roman" w:cs="Times New Roman"/>
            <w:sz w:val="24"/>
            <w:szCs w:val="24"/>
            <w:u w:val="single"/>
            <w:lang w:eastAsia="ru-RU"/>
          </w:rPr>
          <w:t>классификатору</w:t>
        </w:r>
      </w:hyperlink>
      <w:r w:rsidRPr="004F6638">
        <w:rPr>
          <w:rFonts w:ascii="Times New Roman" w:eastAsiaTheme="minorEastAsia" w:hAnsi="Times New Roman" w:cs="Times New Roman"/>
          <w:sz w:val="24"/>
          <w:szCs w:val="24"/>
          <w:lang w:eastAsia="ru-RU"/>
        </w:rPr>
        <w:t xml:space="preserve"> территорий муниципальных образований;</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 первой строке формы карты специальной оценки условий труда (далее - Карта) указываются наименование должности, профессии или специальности работника в соответствии со штатным расписанием организации, утвержденным работодателем, и соответствующий код должности, профессии или специальности согласно квалификационным справочникам, общероссийским классификаторам или профессиональным стандартам. Допускается указывать дополнительные сведения, позволяющие установить, что данная должность, профессия или специальность являются производными. В случае отсутствия соответствующего кода должности, профессии или специальности в квалификационных справочниках делается запись: "Отсутствует".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К наименованию должности, профессии или специальности допускается дописывать в скобках уточняющие сведения, облегчающие идентификацию рабочего места;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в строке "Наименование структурного подразделения" Карты указывается наименование структурного подразделения, в соответствии с имеющейся у работодателя структурой управления. Если у работодателя нет структурных подразделений, делается запись: "Отсутствует";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в строке "Количество и номера аналогичных рабочих мест" Карты указываются количество и номера аналогичных рабочих мест, включая рабочее место, на которое заполняется Карта. Номера рабочих мест должны соответствовать номерам, приведенным в перечне рабочих мест, на которых проводилась специальная оценка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в строке 010 Карты делается ссылка на выпуск Единого тарифно-квалификационного справочника работ и профессий рабочих (ЕТКС), раздел Единого квалификационного справочника должностей руководителей, специалистов и служащих (ЕКС), наименование профессионального стандарта, в которых содержится тарифно-квалификационная характеристика (квалификационная характеристика) профессии (должности) работника, занятого на данном рабочем месте, указывается нормативный правовой акт, которым утверждены указанные документы, его реквизиты;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6) в строке 011 Карты указывается соответствующий код профессии (должности) согласно Общероссийскому </w:t>
      </w:r>
      <w:hyperlink r:id="rId218" w:history="1">
        <w:r w:rsidRPr="004F6638">
          <w:rPr>
            <w:rFonts w:ascii="Times New Roman" w:eastAsiaTheme="minorEastAsia" w:hAnsi="Times New Roman" w:cs="Times New Roman"/>
            <w:sz w:val="24"/>
            <w:szCs w:val="24"/>
            <w:u w:val="single"/>
            <w:lang w:eastAsia="ru-RU"/>
          </w:rPr>
          <w:t>классификатору</w:t>
        </w:r>
      </w:hyperlink>
      <w:r w:rsidRPr="004F6638">
        <w:rPr>
          <w:rFonts w:ascii="Times New Roman" w:eastAsiaTheme="minorEastAsia" w:hAnsi="Times New Roman" w:cs="Times New Roman"/>
          <w:sz w:val="24"/>
          <w:szCs w:val="24"/>
          <w:lang w:eastAsia="ru-RU"/>
        </w:rPr>
        <w:t xml:space="preserve"> профессий рабочих, должностей служащих и тарифных разрядов ОК 016-94 (далее - ОК 016-94), если наименование профессии (должности) в строке 010 Карты указано в соответствии с выпуском ЕТКС, разделом ЕКС или кодом области профессиональной деятельности согласно указанному в строке 010 Карты наименованию профессионального стандарта. В случае отсутствия соответствующего кода профессии (должности) в </w:t>
      </w:r>
      <w:hyperlink r:id="rId219" w:history="1">
        <w:r w:rsidRPr="004F6638">
          <w:rPr>
            <w:rFonts w:ascii="Times New Roman" w:eastAsiaTheme="minorEastAsia" w:hAnsi="Times New Roman" w:cs="Times New Roman"/>
            <w:sz w:val="24"/>
            <w:szCs w:val="24"/>
            <w:u w:val="single"/>
            <w:lang w:eastAsia="ru-RU"/>
          </w:rPr>
          <w:t>ОК 016-94</w:t>
        </w:r>
      </w:hyperlink>
      <w:r w:rsidRPr="004F6638">
        <w:rPr>
          <w:rFonts w:ascii="Times New Roman" w:eastAsiaTheme="minorEastAsia" w:hAnsi="Times New Roman" w:cs="Times New Roman"/>
          <w:sz w:val="24"/>
          <w:szCs w:val="24"/>
          <w:lang w:eastAsia="ru-RU"/>
        </w:rPr>
        <w:t xml:space="preserve"> или профессиональном стандарте делается запись: "Отсутствует";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в строке 020 Карты указывается численность работников, занятых на данном рабочем месте (по штатному расписанию или фактическая) за месяц, предшествовавший заполнению Карты, а также численность работников, занятых на аналогичных рабочих местах, в том числе женщин, лиц в возрасте до 18 лет и инвалидов, допущенных к выполнению работ на данном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8) в строке 021 Карты указывается информация о СНИЛС работников, занятых на данном </w:t>
      </w:r>
      <w:r w:rsidRPr="004F6638">
        <w:rPr>
          <w:rFonts w:ascii="Times New Roman" w:eastAsiaTheme="minorEastAsia" w:hAnsi="Times New Roman" w:cs="Times New Roman"/>
          <w:sz w:val="24"/>
          <w:szCs w:val="24"/>
          <w:lang w:eastAsia="ru-RU"/>
        </w:rPr>
        <w:lastRenderedPageBreak/>
        <w:t>рабочем месте за месяц, предшествовавший заполнению Карты;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9) в строке 022 Карты указывается перечень используемого (эксплуатируемого) на рабочем месте производственного оборудования, а также перечень используемого материалов и сырья;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10) в таблице строки 030 Карты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 класс (подкласс) условий труда по соответствующему идентифицированному вредному и (или) опасному фактору производственной среды и трудового процесса, а также итоговый класс (подкласс) условий труда с учетом совокупного воздействия идентифицированных вредных и (или) опасных факторов производственной среды и трудового процесса;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 оценка эффективности выданных работнику средств индивидуальной защиты (СИЗ) по соответствующему идентифицированному вредному и (или) опасному фактору производственной среды и трудового процесса, которая отмечается знаком "+" в случае ее проведения и наличия протокола оценки эффективности СИЗ на рабочем месте, или знаком "-" в случае ее непроведения;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4 - класс (подкласс) условий труда по соответствующему идентифицированному вредному и (или) опасному фактору производственной среды и трудового процесса, с учетом совокупного воздействия идентифицированных вредных факторов производственной среды и трудового процесса и результатов оценки эффективности СИЗ, выданных работнику на данном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При этом в позиции 15 "Итоговый класс (подкласс) условий труда" указывается итоговый класс (подкласс) условий труда, установленный в соответствии с приложением, N 15 к Методике проведения специальной оценки условий труда;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11) в таблице строки 040 Карты указываются: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 фактически предоставляемые работнику гарантии и компенсации на дату заполнения Карты ("да" или "нет");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4 - необходимость в предоставлении работнику соответствующих гарантий и компенсаций за работу с вредными и (или) опасными условиями труда по результатам проведения специальной оценки условий труда ("да" или "нет");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5 - основание предоставления работнику гарантий и компенсаций за работу с вредными и (или) опасными условиями труда с указанием соответствующего законодательного и (или) нормативного правового акта со ссылкой на разделы, главы, статьи, пункты, при их отсутствии делается запись "Отсутствует";</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12) в строке 050 Карты указываются рекомендации по улучшению условий труда, по режимам труда и отдыха, по подбору работников, по обеспечению (при необходимости) средствами индивидуальной защиты;</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13) в Карте указывается дата ее составления. Карта подписывается председателем и членами комиссии по проведению специальной оценки условий труда, экспертом (экспертами) организации. Карта также подписывается работниками, занятыми на данном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При заполнении раздела V:</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 таблице 1:</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 xml:space="preserve">в графе 2 указывается общее количество рабочих мест у работодателя, а также численность </w:t>
      </w:r>
      <w:r w:rsidRPr="004F6638">
        <w:rPr>
          <w:rFonts w:ascii="Times New Roman" w:eastAsiaTheme="minorEastAsia" w:hAnsi="Times New Roman" w:cs="Times New Roman"/>
          <w:sz w:val="24"/>
          <w:szCs w:val="24"/>
          <w:lang w:eastAsia="ru-RU"/>
        </w:rPr>
        <w:lastRenderedPageBreak/>
        <w:t>работников, занятых на этих рабочих местах, в том числе женщин, лиц в возрасте до 18 лет и инвалидов;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3 указывается количество рабочих мест, на которых проведена специальная оценка труда, а также численность работников, занятых на этих рабочих местах, в том числе женщин, лиц в возрасте до 18 лет и инвалидов;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4 - 10 указывается количество рабочих мест, указанных в графе 3, распределенное по классам (подклассам) условий труда, а также количество занятых на данных рабочих местах в условиях труда, характеризующихся классами (подклассами) условий труда, работников, указанных в графе 3, в том числе женщин, лиц в возрасте до 18 лет и инвалидов;</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 таблице 2:</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 указывается индивидуальный номер рабочего места, который при внеплановой и (или) повторной специальной оценке условий труда должен полностью совпадать с первоначально указанным для данного рабочего места;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2 указывается должность, профессия или специальность работника (работников), занятого (занятых) на данном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3 - 16 указываются классы (подклассы) условий труда на рабочем месте при воздействии вредных и (или) опасных факторов производственной среды и трудового процесса;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17 указывается итоговый класс (подкласс) условий труда на рабочем месте;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графе 18 указывается итоговый класс (подкласс) условий труда на рабочем месте с учетом эффективного применения СИЗ;</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в графах 19 - 24 указываются гарантии и компенсации за работу во вредных и (или) опасных условиях труда (повышенный размер оплаты труда, ежегодный дополнительный оплачиваемый отпуск, сокращенная продолжительность рабочего времени, молоко или другие равноценные пищевые продукты, лечебно-профилактическое питание, право на досрочное назначение страховой пенсии).</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7. При заполнении раздела VI:</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1) в графе 1 указывается наименование структурного подразделения, рабочего места;</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2) в графе 2 указывается наименование мероприятия по улучшению условий труда (далее - мероприятие);</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3) в графе 3 указывается цель мероприятия;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4) в графе 4 указывается срок выполнения мероприятия;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5) в графе 5 указываются структурные подразделения, привлекаемые для выполнения мероприятия;</w:t>
      </w:r>
    </w:p>
    <w:p w:rsidR="004F6638" w:rsidRPr="004F6638" w:rsidRDefault="004F6638" w:rsidP="004F6638">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4F6638">
        <w:rPr>
          <w:rFonts w:ascii="Times New Roman" w:eastAsiaTheme="minorEastAsia" w:hAnsi="Times New Roman" w:cs="Times New Roman"/>
          <w:sz w:val="24"/>
          <w:szCs w:val="24"/>
          <w:lang w:eastAsia="ru-RU"/>
        </w:rPr>
        <w:t>6) в графе 6 проставляется отметка о выполнении мероприятия.</w:t>
      </w:r>
    </w:p>
    <w:p w:rsidR="00AD22BB" w:rsidRDefault="00AD22BB">
      <w:bookmarkStart w:id="0" w:name="_GoBack"/>
      <w:bookmarkEnd w:id="0"/>
    </w:p>
    <w:sectPr w:rsidR="00AD22B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48"/>
    <w:rsid w:val="004F6638"/>
    <w:rsid w:val="00AD22BB"/>
    <w:rsid w:val="00DD0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8EE2DE-2453-4338-B541-48A4AE8E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6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ormativ.kontur.ru/document?moduleid=9&amp;documentid=450207#l1462" TargetMode="External"/><Relationship Id="rId21" Type="http://schemas.openxmlformats.org/officeDocument/2006/relationships/hyperlink" Target="https://normativ.kontur.ru/document?moduleid=1&amp;documentid=455233#l169" TargetMode="External"/><Relationship Id="rId42" Type="http://schemas.openxmlformats.org/officeDocument/2006/relationships/hyperlink" Target="https://normativ.kontur.ru/document?moduleid=1&amp;documentid=455233#l64" TargetMode="External"/><Relationship Id="rId63" Type="http://schemas.openxmlformats.org/officeDocument/2006/relationships/hyperlink" Target="https://normativ.kontur.ru/document?moduleid=9&amp;documentid=429868#l0" TargetMode="External"/><Relationship Id="rId84" Type="http://schemas.openxmlformats.org/officeDocument/2006/relationships/image" Target="media/image30.gif"/><Relationship Id="rId138" Type="http://schemas.openxmlformats.org/officeDocument/2006/relationships/image" Target="media/image68.gif"/><Relationship Id="rId159" Type="http://schemas.openxmlformats.org/officeDocument/2006/relationships/image" Target="media/image81.gif"/><Relationship Id="rId170" Type="http://schemas.openxmlformats.org/officeDocument/2006/relationships/image" Target="media/image92.gif"/><Relationship Id="rId191" Type="http://schemas.openxmlformats.org/officeDocument/2006/relationships/image" Target="media/image113.gif"/><Relationship Id="rId205" Type="http://schemas.openxmlformats.org/officeDocument/2006/relationships/image" Target="media/image127.gif"/><Relationship Id="rId107" Type="http://schemas.openxmlformats.org/officeDocument/2006/relationships/image" Target="media/image51.gif"/><Relationship Id="rId11" Type="http://schemas.openxmlformats.org/officeDocument/2006/relationships/hyperlink" Target="https://normativ.kontur.ru/document?moduleid=1&amp;documentid=416501#l4" TargetMode="External"/><Relationship Id="rId32" Type="http://schemas.openxmlformats.org/officeDocument/2006/relationships/hyperlink" Target="https://normativ.kontur.ru/document?moduleid=1&amp;documentid=455233#l47" TargetMode="External"/><Relationship Id="rId53" Type="http://schemas.openxmlformats.org/officeDocument/2006/relationships/image" Target="media/image10.gif"/><Relationship Id="rId74" Type="http://schemas.openxmlformats.org/officeDocument/2006/relationships/image" Target="media/image23.gif"/><Relationship Id="rId128" Type="http://schemas.openxmlformats.org/officeDocument/2006/relationships/hyperlink" Target="https://normativ.kontur.ru/document?moduleid=9&amp;documentid=450207#l1490" TargetMode="External"/><Relationship Id="rId149" Type="http://schemas.openxmlformats.org/officeDocument/2006/relationships/image" Target="media/image79.gif"/><Relationship Id="rId5" Type="http://schemas.openxmlformats.org/officeDocument/2006/relationships/hyperlink" Target="https://normativ.kontur.ru/document?moduleid=1&amp;documentid=455233#l28" TargetMode="External"/><Relationship Id="rId95" Type="http://schemas.openxmlformats.org/officeDocument/2006/relationships/image" Target="media/image41.gif"/><Relationship Id="rId160" Type="http://schemas.openxmlformats.org/officeDocument/2006/relationships/image" Target="media/image82.gif"/><Relationship Id="rId181" Type="http://schemas.openxmlformats.org/officeDocument/2006/relationships/image" Target="media/image103.gif"/><Relationship Id="rId216" Type="http://schemas.openxmlformats.org/officeDocument/2006/relationships/hyperlink" Target="https://normativ.kontur.ru/document?moduleid=1&amp;documentid=459829#l0" TargetMode="External"/><Relationship Id="rId22" Type="http://schemas.openxmlformats.org/officeDocument/2006/relationships/hyperlink" Target="https://normativ.kontur.ru/document?moduleid=1&amp;documentid=455233#l51" TargetMode="External"/><Relationship Id="rId43" Type="http://schemas.openxmlformats.org/officeDocument/2006/relationships/image" Target="media/image5.gif"/><Relationship Id="rId64" Type="http://schemas.openxmlformats.org/officeDocument/2006/relationships/hyperlink" Target="https://normativ.kontur.ru/document?moduleid=9&amp;documentid=429868#l83" TargetMode="External"/><Relationship Id="rId118" Type="http://schemas.openxmlformats.org/officeDocument/2006/relationships/hyperlink" Target="https://normativ.kontur.ru/document?moduleid=9&amp;documentid=450207#l1457" TargetMode="External"/><Relationship Id="rId139" Type="http://schemas.openxmlformats.org/officeDocument/2006/relationships/image" Target="media/image69.gif"/><Relationship Id="rId85" Type="http://schemas.openxmlformats.org/officeDocument/2006/relationships/image" Target="media/image31.gif"/><Relationship Id="rId150" Type="http://schemas.openxmlformats.org/officeDocument/2006/relationships/hyperlink" Target="https://normativ.kontur.ru/document?moduleid=1&amp;documentid=444868#l23" TargetMode="External"/><Relationship Id="rId171" Type="http://schemas.openxmlformats.org/officeDocument/2006/relationships/image" Target="media/image93.gif"/><Relationship Id="rId192" Type="http://schemas.openxmlformats.org/officeDocument/2006/relationships/image" Target="media/image114.gif"/><Relationship Id="rId206" Type="http://schemas.openxmlformats.org/officeDocument/2006/relationships/image" Target="media/image128.gif"/><Relationship Id="rId12" Type="http://schemas.openxmlformats.org/officeDocument/2006/relationships/hyperlink" Target="https://normativ.kontur.ru/document?moduleid=1&amp;documentid=455233#l20" TargetMode="External"/><Relationship Id="rId33" Type="http://schemas.openxmlformats.org/officeDocument/2006/relationships/hyperlink" Target="https://normativ.kontur.ru/document?moduleid=9&amp;documentid=380739#l35" TargetMode="External"/><Relationship Id="rId108" Type="http://schemas.openxmlformats.org/officeDocument/2006/relationships/image" Target="media/image52.gif"/><Relationship Id="rId129" Type="http://schemas.openxmlformats.org/officeDocument/2006/relationships/hyperlink" Target="https://normativ.kontur.ru/document?moduleid=9&amp;documentid=450207#l1491" TargetMode="External"/><Relationship Id="rId54" Type="http://schemas.openxmlformats.org/officeDocument/2006/relationships/image" Target="media/image11.gif"/><Relationship Id="rId75" Type="http://schemas.openxmlformats.org/officeDocument/2006/relationships/image" Target="media/image24.gif"/><Relationship Id="rId96" Type="http://schemas.openxmlformats.org/officeDocument/2006/relationships/image" Target="media/image42.gif"/><Relationship Id="rId140" Type="http://schemas.openxmlformats.org/officeDocument/2006/relationships/image" Target="media/image70.gif"/><Relationship Id="rId161" Type="http://schemas.openxmlformats.org/officeDocument/2006/relationships/image" Target="media/image83.gif"/><Relationship Id="rId182" Type="http://schemas.openxmlformats.org/officeDocument/2006/relationships/image" Target="media/image104.gif"/><Relationship Id="rId217" Type="http://schemas.openxmlformats.org/officeDocument/2006/relationships/hyperlink" Target="https://normativ.kontur.ru/document?moduleid=1&amp;documentid=222981#l0" TargetMode="External"/><Relationship Id="rId6" Type="http://schemas.openxmlformats.org/officeDocument/2006/relationships/hyperlink" Target="https://normativ.kontur.ru/document?moduleid=1&amp;documentid=455233#l71" TargetMode="External"/><Relationship Id="rId23" Type="http://schemas.openxmlformats.org/officeDocument/2006/relationships/hyperlink" Target="https://normativ.kontur.ru/document?moduleid=1&amp;documentid=455233#l155" TargetMode="External"/><Relationship Id="rId119" Type="http://schemas.openxmlformats.org/officeDocument/2006/relationships/image" Target="media/image56.gif"/><Relationship Id="rId44" Type="http://schemas.openxmlformats.org/officeDocument/2006/relationships/image" Target="media/image6.gif"/><Relationship Id="rId65" Type="http://schemas.openxmlformats.org/officeDocument/2006/relationships/hyperlink" Target="https://normativ.kontur.ru/document?moduleid=9&amp;documentid=450207#l510" TargetMode="External"/><Relationship Id="rId86" Type="http://schemas.openxmlformats.org/officeDocument/2006/relationships/image" Target="media/image32.gif"/><Relationship Id="rId130" Type="http://schemas.openxmlformats.org/officeDocument/2006/relationships/hyperlink" Target="https://normativ.kontur.ru/document?moduleid=9&amp;documentid=140797#l10" TargetMode="External"/><Relationship Id="rId151" Type="http://schemas.openxmlformats.org/officeDocument/2006/relationships/hyperlink" Target="https://normativ.kontur.ru/document?moduleid=1&amp;documentid=444868#l1" TargetMode="External"/><Relationship Id="rId172" Type="http://schemas.openxmlformats.org/officeDocument/2006/relationships/image" Target="media/image94.gif"/><Relationship Id="rId193" Type="http://schemas.openxmlformats.org/officeDocument/2006/relationships/image" Target="media/image115.gif"/><Relationship Id="rId207" Type="http://schemas.openxmlformats.org/officeDocument/2006/relationships/image" Target="media/image129.gif"/><Relationship Id="rId13" Type="http://schemas.openxmlformats.org/officeDocument/2006/relationships/hyperlink" Target="https://normativ.kontur.ru/document?moduleid=1&amp;documentid=455233#l0" TargetMode="External"/><Relationship Id="rId109" Type="http://schemas.openxmlformats.org/officeDocument/2006/relationships/image" Target="media/image53.gif"/><Relationship Id="rId34" Type="http://schemas.openxmlformats.org/officeDocument/2006/relationships/hyperlink" Target="https://normativ.kontur.ru/document?moduleid=9&amp;documentid=380739#l0" TargetMode="External"/><Relationship Id="rId55" Type="http://schemas.openxmlformats.org/officeDocument/2006/relationships/image" Target="media/image12.gif"/><Relationship Id="rId76" Type="http://schemas.openxmlformats.org/officeDocument/2006/relationships/image" Target="media/image25.gif"/><Relationship Id="rId97" Type="http://schemas.openxmlformats.org/officeDocument/2006/relationships/image" Target="media/image43.gif"/><Relationship Id="rId120" Type="http://schemas.openxmlformats.org/officeDocument/2006/relationships/hyperlink" Target="https://normativ.kontur.ru/document?moduleid=9&amp;documentid=450207#l1460" TargetMode="External"/><Relationship Id="rId141" Type="http://schemas.openxmlformats.org/officeDocument/2006/relationships/image" Target="media/image71.gif"/><Relationship Id="rId7" Type="http://schemas.openxmlformats.org/officeDocument/2006/relationships/hyperlink" Target="https://normativ.kontur.ru/document?moduleid=1&amp;documentid=443945#l38" TargetMode="External"/><Relationship Id="rId162" Type="http://schemas.openxmlformats.org/officeDocument/2006/relationships/image" Target="media/image84.gif"/><Relationship Id="rId183" Type="http://schemas.openxmlformats.org/officeDocument/2006/relationships/image" Target="media/image105.gif"/><Relationship Id="rId218" Type="http://schemas.openxmlformats.org/officeDocument/2006/relationships/hyperlink" Target="https://normativ.kontur.ru/document?moduleid=1&amp;documentid=122405#l0" TargetMode="External"/><Relationship Id="rId24" Type="http://schemas.openxmlformats.org/officeDocument/2006/relationships/hyperlink" Target="https://normativ.kontur.ru/document?moduleid=1&amp;documentid=455233#l30" TargetMode="External"/><Relationship Id="rId45" Type="http://schemas.openxmlformats.org/officeDocument/2006/relationships/hyperlink" Target="https://normativ.kontur.ru/document?moduleid=9&amp;documentid=450207#l510" TargetMode="External"/><Relationship Id="rId66" Type="http://schemas.openxmlformats.org/officeDocument/2006/relationships/hyperlink" Target="https://normativ.kontur.ru/document?moduleid=9&amp;documentid=450207#l2791" TargetMode="External"/><Relationship Id="rId87" Type="http://schemas.openxmlformats.org/officeDocument/2006/relationships/image" Target="media/image33.gif"/><Relationship Id="rId110" Type="http://schemas.openxmlformats.org/officeDocument/2006/relationships/image" Target="media/image54.gif"/><Relationship Id="rId131" Type="http://schemas.openxmlformats.org/officeDocument/2006/relationships/hyperlink" Target="https://normativ.kontur.ru/document?moduleid=9&amp;documentid=140797#l0" TargetMode="External"/><Relationship Id="rId152" Type="http://schemas.openxmlformats.org/officeDocument/2006/relationships/hyperlink" Target="https://normativ.kontur.ru/document?moduleid=1&amp;documentid=455233#l0" TargetMode="External"/><Relationship Id="rId173" Type="http://schemas.openxmlformats.org/officeDocument/2006/relationships/image" Target="media/image95.gif"/><Relationship Id="rId194" Type="http://schemas.openxmlformats.org/officeDocument/2006/relationships/image" Target="media/image116.gif"/><Relationship Id="rId208" Type="http://schemas.openxmlformats.org/officeDocument/2006/relationships/image" Target="media/image130.gif"/><Relationship Id="rId14" Type="http://schemas.openxmlformats.org/officeDocument/2006/relationships/hyperlink" Target="https://normativ.kontur.ru/document?moduleid=1&amp;documentid=444868#l23" TargetMode="External"/><Relationship Id="rId35" Type="http://schemas.openxmlformats.org/officeDocument/2006/relationships/image" Target="media/image1.gif"/><Relationship Id="rId56" Type="http://schemas.openxmlformats.org/officeDocument/2006/relationships/image" Target="media/image13.gif"/><Relationship Id="rId77" Type="http://schemas.openxmlformats.org/officeDocument/2006/relationships/image" Target="media/image26.gif"/><Relationship Id="rId100" Type="http://schemas.openxmlformats.org/officeDocument/2006/relationships/hyperlink" Target="https://normativ.kontur.ru/document?moduleid=9&amp;documentid=450207#l1499" TargetMode="External"/><Relationship Id="rId8" Type="http://schemas.openxmlformats.org/officeDocument/2006/relationships/hyperlink" Target="https://normativ.kontur.ru/document?moduleid=1&amp;documentid=369213#l0" TargetMode="External"/><Relationship Id="rId51" Type="http://schemas.openxmlformats.org/officeDocument/2006/relationships/image" Target="media/image8.gif"/><Relationship Id="rId72" Type="http://schemas.openxmlformats.org/officeDocument/2006/relationships/image" Target="media/image21.gif"/><Relationship Id="rId93" Type="http://schemas.openxmlformats.org/officeDocument/2006/relationships/image" Target="media/image39.gif"/><Relationship Id="rId98" Type="http://schemas.openxmlformats.org/officeDocument/2006/relationships/image" Target="media/image44.gif"/><Relationship Id="rId121" Type="http://schemas.openxmlformats.org/officeDocument/2006/relationships/image" Target="media/image57.gif"/><Relationship Id="rId142" Type="http://schemas.openxmlformats.org/officeDocument/2006/relationships/image" Target="media/image72.gif"/><Relationship Id="rId163" Type="http://schemas.openxmlformats.org/officeDocument/2006/relationships/image" Target="media/image85.gif"/><Relationship Id="rId184" Type="http://schemas.openxmlformats.org/officeDocument/2006/relationships/image" Target="media/image106.gif"/><Relationship Id="rId189" Type="http://schemas.openxmlformats.org/officeDocument/2006/relationships/image" Target="media/image111.gif"/><Relationship Id="rId219" Type="http://schemas.openxmlformats.org/officeDocument/2006/relationships/hyperlink" Target="https://normativ.kontur.ru/document?moduleid=1&amp;documentid=122405#l0" TargetMode="External"/><Relationship Id="rId3" Type="http://schemas.openxmlformats.org/officeDocument/2006/relationships/webSettings" Target="webSettings.xml"/><Relationship Id="rId214" Type="http://schemas.openxmlformats.org/officeDocument/2006/relationships/hyperlink" Target="https://normativ.kontur.ru/document?moduleid=1&amp;documentid=459829#l0" TargetMode="External"/><Relationship Id="rId25" Type="http://schemas.openxmlformats.org/officeDocument/2006/relationships/hyperlink" Target="https://normativ.kontur.ru/document?moduleid=1&amp;documentid=455233#l35" TargetMode="External"/><Relationship Id="rId46" Type="http://schemas.openxmlformats.org/officeDocument/2006/relationships/hyperlink" Target="https://normativ.kontur.ru/document?moduleid=9&amp;documentid=450207#l510" TargetMode="External"/><Relationship Id="rId67" Type="http://schemas.openxmlformats.org/officeDocument/2006/relationships/image" Target="media/image16.gif"/><Relationship Id="rId116" Type="http://schemas.openxmlformats.org/officeDocument/2006/relationships/hyperlink" Target="https://normativ.kontur.ru/document?moduleid=9&amp;documentid=450207#l1455" TargetMode="External"/><Relationship Id="rId137" Type="http://schemas.openxmlformats.org/officeDocument/2006/relationships/image" Target="media/image67.gif"/><Relationship Id="rId158" Type="http://schemas.openxmlformats.org/officeDocument/2006/relationships/image" Target="media/image80.gif"/><Relationship Id="rId20" Type="http://schemas.openxmlformats.org/officeDocument/2006/relationships/hyperlink" Target="https://normativ.kontur.ru/document?moduleid=1&amp;documentid=455233#l33" TargetMode="External"/><Relationship Id="rId41" Type="http://schemas.openxmlformats.org/officeDocument/2006/relationships/hyperlink" Target="https://normativ.kontur.ru/document?moduleid=1&amp;documentid=455233#l351" TargetMode="External"/><Relationship Id="rId62" Type="http://schemas.openxmlformats.org/officeDocument/2006/relationships/hyperlink" Target="https://normativ.kontur.ru/document?moduleid=9&amp;documentid=429868#l7973" TargetMode="External"/><Relationship Id="rId83" Type="http://schemas.openxmlformats.org/officeDocument/2006/relationships/image" Target="media/image29.gif"/><Relationship Id="rId88" Type="http://schemas.openxmlformats.org/officeDocument/2006/relationships/image" Target="media/image34.gif"/><Relationship Id="rId111" Type="http://schemas.openxmlformats.org/officeDocument/2006/relationships/image" Target="media/image55.gif"/><Relationship Id="rId132" Type="http://schemas.openxmlformats.org/officeDocument/2006/relationships/image" Target="media/image62.gif"/><Relationship Id="rId153" Type="http://schemas.openxmlformats.org/officeDocument/2006/relationships/hyperlink" Target="https://normativ.kontur.ru/document?moduleid=1&amp;documentid=455233#l183" TargetMode="External"/><Relationship Id="rId174" Type="http://schemas.openxmlformats.org/officeDocument/2006/relationships/image" Target="media/image96.gif"/><Relationship Id="rId179" Type="http://schemas.openxmlformats.org/officeDocument/2006/relationships/image" Target="media/image101.gif"/><Relationship Id="rId195" Type="http://schemas.openxmlformats.org/officeDocument/2006/relationships/image" Target="media/image117.gif"/><Relationship Id="rId209" Type="http://schemas.openxmlformats.org/officeDocument/2006/relationships/hyperlink" Target="https://normativ.kontur.ru/document?moduleid=1&amp;documentid=459829#l0" TargetMode="External"/><Relationship Id="rId190" Type="http://schemas.openxmlformats.org/officeDocument/2006/relationships/image" Target="media/image112.gif"/><Relationship Id="rId204" Type="http://schemas.openxmlformats.org/officeDocument/2006/relationships/image" Target="media/image126.gif"/><Relationship Id="rId220" Type="http://schemas.openxmlformats.org/officeDocument/2006/relationships/fontTable" Target="fontTable.xml"/><Relationship Id="rId15" Type="http://schemas.openxmlformats.org/officeDocument/2006/relationships/hyperlink" Target="https://normativ.kontur.ru/document?moduleid=1&amp;documentid=444868#l0" TargetMode="External"/><Relationship Id="rId36" Type="http://schemas.openxmlformats.org/officeDocument/2006/relationships/image" Target="media/image2.gif"/><Relationship Id="rId57" Type="http://schemas.openxmlformats.org/officeDocument/2006/relationships/image" Target="media/image14.gif"/><Relationship Id="rId106" Type="http://schemas.openxmlformats.org/officeDocument/2006/relationships/image" Target="media/image50.gif"/><Relationship Id="rId127" Type="http://schemas.openxmlformats.org/officeDocument/2006/relationships/image" Target="media/image61.gif"/><Relationship Id="rId10" Type="http://schemas.openxmlformats.org/officeDocument/2006/relationships/hyperlink" Target="https://normativ.kontur.ru/document?moduleid=1&amp;documentid=416491#l3" TargetMode="External"/><Relationship Id="rId31" Type="http://schemas.openxmlformats.org/officeDocument/2006/relationships/hyperlink" Target="https://normativ.kontur.ru/document?moduleid=1&amp;documentid=455233#l47" TargetMode="External"/><Relationship Id="rId52" Type="http://schemas.openxmlformats.org/officeDocument/2006/relationships/image" Target="media/image9.gif"/><Relationship Id="rId73" Type="http://schemas.openxmlformats.org/officeDocument/2006/relationships/image" Target="media/image22.gif"/><Relationship Id="rId78" Type="http://schemas.openxmlformats.org/officeDocument/2006/relationships/image" Target="media/image27.gif"/><Relationship Id="rId94" Type="http://schemas.openxmlformats.org/officeDocument/2006/relationships/image" Target="media/image40.gif"/><Relationship Id="rId99" Type="http://schemas.openxmlformats.org/officeDocument/2006/relationships/image" Target="media/image45.gif"/><Relationship Id="rId101" Type="http://schemas.openxmlformats.org/officeDocument/2006/relationships/hyperlink" Target="https://normativ.kontur.ru/document?moduleid=9&amp;documentid=450207#l1506" TargetMode="External"/><Relationship Id="rId122" Type="http://schemas.openxmlformats.org/officeDocument/2006/relationships/image" Target="media/image58.gif"/><Relationship Id="rId143" Type="http://schemas.openxmlformats.org/officeDocument/2006/relationships/image" Target="media/image73.gif"/><Relationship Id="rId148" Type="http://schemas.openxmlformats.org/officeDocument/2006/relationships/image" Target="media/image78.gif"/><Relationship Id="rId164" Type="http://schemas.openxmlformats.org/officeDocument/2006/relationships/image" Target="media/image86.gif"/><Relationship Id="rId169" Type="http://schemas.openxmlformats.org/officeDocument/2006/relationships/image" Target="media/image91.gif"/><Relationship Id="rId185" Type="http://schemas.openxmlformats.org/officeDocument/2006/relationships/image" Target="media/image107.gif"/><Relationship Id="rId4" Type="http://schemas.openxmlformats.org/officeDocument/2006/relationships/hyperlink" Target="https://normativ.kontur.ru/document?moduleid=1&amp;documentid=455233#l20" TargetMode="External"/><Relationship Id="rId9" Type="http://schemas.openxmlformats.org/officeDocument/2006/relationships/hyperlink" Target="https://normativ.kontur.ru/document?moduleid=1&amp;documentid=246042#l0" TargetMode="External"/><Relationship Id="rId180" Type="http://schemas.openxmlformats.org/officeDocument/2006/relationships/image" Target="media/image102.gif"/><Relationship Id="rId210" Type="http://schemas.openxmlformats.org/officeDocument/2006/relationships/hyperlink" Target="https://normativ.kontur.ru/document?moduleid=1&amp;documentid=458575#l0" TargetMode="External"/><Relationship Id="rId215" Type="http://schemas.openxmlformats.org/officeDocument/2006/relationships/hyperlink" Target="https://normativ.kontur.ru/document?moduleid=1&amp;documentid=458575#l0" TargetMode="External"/><Relationship Id="rId26" Type="http://schemas.openxmlformats.org/officeDocument/2006/relationships/hyperlink" Target="https://normativ.kontur.ru/document?moduleid=1&amp;documentid=455233#l44" TargetMode="External"/><Relationship Id="rId47" Type="http://schemas.openxmlformats.org/officeDocument/2006/relationships/hyperlink" Target="https://normativ.kontur.ru/document?moduleid=9&amp;documentid=450207#l510" TargetMode="External"/><Relationship Id="rId68" Type="http://schemas.openxmlformats.org/officeDocument/2006/relationships/image" Target="media/image17.gif"/><Relationship Id="rId89" Type="http://schemas.openxmlformats.org/officeDocument/2006/relationships/image" Target="media/image35.gif"/><Relationship Id="rId112" Type="http://schemas.openxmlformats.org/officeDocument/2006/relationships/hyperlink" Target="https://normativ.kontur.ru/document?moduleid=9&amp;documentid=450207#l1449" TargetMode="External"/><Relationship Id="rId133" Type="http://schemas.openxmlformats.org/officeDocument/2006/relationships/image" Target="media/image63.gif"/><Relationship Id="rId154" Type="http://schemas.openxmlformats.org/officeDocument/2006/relationships/hyperlink" Target="https://normativ.kontur.ru/document?moduleid=1&amp;documentid=455233#l0" TargetMode="External"/><Relationship Id="rId175" Type="http://schemas.openxmlformats.org/officeDocument/2006/relationships/image" Target="media/image97.gif"/><Relationship Id="rId196" Type="http://schemas.openxmlformats.org/officeDocument/2006/relationships/image" Target="media/image118.gif"/><Relationship Id="rId200" Type="http://schemas.openxmlformats.org/officeDocument/2006/relationships/image" Target="media/image122.gif"/><Relationship Id="rId16" Type="http://schemas.openxmlformats.org/officeDocument/2006/relationships/hyperlink" Target="https://normativ.kontur.ru/document?moduleid=1&amp;documentid=455233#l0" TargetMode="External"/><Relationship Id="rId221" Type="http://schemas.openxmlformats.org/officeDocument/2006/relationships/theme" Target="theme/theme1.xml"/><Relationship Id="rId37" Type="http://schemas.openxmlformats.org/officeDocument/2006/relationships/hyperlink" Target="https://normativ.kontur.ru/document?moduleid=9&amp;documentid=450207#l2292" TargetMode="External"/><Relationship Id="rId58" Type="http://schemas.openxmlformats.org/officeDocument/2006/relationships/image" Target="media/image15.gif"/><Relationship Id="rId79" Type="http://schemas.openxmlformats.org/officeDocument/2006/relationships/image" Target="media/image28.gif"/><Relationship Id="rId102" Type="http://schemas.openxmlformats.org/officeDocument/2006/relationships/image" Target="media/image46.gif"/><Relationship Id="rId123" Type="http://schemas.openxmlformats.org/officeDocument/2006/relationships/image" Target="media/image59.gif"/><Relationship Id="rId144" Type="http://schemas.openxmlformats.org/officeDocument/2006/relationships/image" Target="media/image74.gif"/><Relationship Id="rId90" Type="http://schemas.openxmlformats.org/officeDocument/2006/relationships/image" Target="media/image36.gif"/><Relationship Id="rId165" Type="http://schemas.openxmlformats.org/officeDocument/2006/relationships/image" Target="media/image87.gif"/><Relationship Id="rId186" Type="http://schemas.openxmlformats.org/officeDocument/2006/relationships/image" Target="media/image108.gif"/><Relationship Id="rId211" Type="http://schemas.openxmlformats.org/officeDocument/2006/relationships/hyperlink" Target="https://normativ.kontur.ru/document?moduleid=1&amp;documentid=459829#l0" TargetMode="External"/><Relationship Id="rId27" Type="http://schemas.openxmlformats.org/officeDocument/2006/relationships/hyperlink" Target="https://normativ.kontur.ru/document?moduleid=1&amp;documentid=455233#l163" TargetMode="External"/><Relationship Id="rId48" Type="http://schemas.openxmlformats.org/officeDocument/2006/relationships/image" Target="media/image7.gif"/><Relationship Id="rId69" Type="http://schemas.openxmlformats.org/officeDocument/2006/relationships/image" Target="media/image18.gif"/><Relationship Id="rId113" Type="http://schemas.openxmlformats.org/officeDocument/2006/relationships/hyperlink" Target="https://normativ.kontur.ru/document?moduleid=9&amp;documentid=450207#l1449" TargetMode="External"/><Relationship Id="rId134" Type="http://schemas.openxmlformats.org/officeDocument/2006/relationships/image" Target="media/image64.gif"/><Relationship Id="rId80" Type="http://schemas.openxmlformats.org/officeDocument/2006/relationships/hyperlink" Target="https://normativ.kontur.ru/document?moduleid=9&amp;documentid=450207#l1440" TargetMode="External"/><Relationship Id="rId155" Type="http://schemas.openxmlformats.org/officeDocument/2006/relationships/hyperlink" Target="https://normativ.kontur.ru/document?moduleid=1&amp;documentid=455233#l315" TargetMode="External"/><Relationship Id="rId176" Type="http://schemas.openxmlformats.org/officeDocument/2006/relationships/image" Target="media/image98.gif"/><Relationship Id="rId197" Type="http://schemas.openxmlformats.org/officeDocument/2006/relationships/image" Target="media/image119.gif"/><Relationship Id="rId201" Type="http://schemas.openxmlformats.org/officeDocument/2006/relationships/image" Target="media/image123.gif"/><Relationship Id="rId17" Type="http://schemas.openxmlformats.org/officeDocument/2006/relationships/hyperlink" Target="https://normativ.kontur.ru/document?moduleid=1&amp;documentid=444868#l23" TargetMode="External"/><Relationship Id="rId38" Type="http://schemas.openxmlformats.org/officeDocument/2006/relationships/hyperlink" Target="https://normativ.kontur.ru/document?moduleid=9&amp;documentid=450207#l0" TargetMode="External"/><Relationship Id="rId59" Type="http://schemas.openxmlformats.org/officeDocument/2006/relationships/hyperlink" Target="https://normativ.kontur.ru/document?moduleid=9&amp;documentid=450207#l462" TargetMode="External"/><Relationship Id="rId103" Type="http://schemas.openxmlformats.org/officeDocument/2006/relationships/image" Target="media/image47.gif"/><Relationship Id="rId124" Type="http://schemas.openxmlformats.org/officeDocument/2006/relationships/image" Target="media/image60.gif"/><Relationship Id="rId70" Type="http://schemas.openxmlformats.org/officeDocument/2006/relationships/image" Target="media/image19.gif"/><Relationship Id="rId91" Type="http://schemas.openxmlformats.org/officeDocument/2006/relationships/image" Target="media/image37.gif"/><Relationship Id="rId145" Type="http://schemas.openxmlformats.org/officeDocument/2006/relationships/image" Target="media/image75.gif"/><Relationship Id="rId166" Type="http://schemas.openxmlformats.org/officeDocument/2006/relationships/image" Target="media/image88.gif"/><Relationship Id="rId187" Type="http://schemas.openxmlformats.org/officeDocument/2006/relationships/image" Target="media/image109.gif"/><Relationship Id="rId1" Type="http://schemas.openxmlformats.org/officeDocument/2006/relationships/styles" Target="styles.xml"/><Relationship Id="rId212" Type="http://schemas.openxmlformats.org/officeDocument/2006/relationships/hyperlink" Target="https://normativ.kontur.ru/document?moduleid=1&amp;documentid=222981#l0" TargetMode="External"/><Relationship Id="rId28" Type="http://schemas.openxmlformats.org/officeDocument/2006/relationships/hyperlink" Target="https://normativ.kontur.ru/document?moduleid=1&amp;documentid=455233#l44" TargetMode="External"/><Relationship Id="rId49" Type="http://schemas.openxmlformats.org/officeDocument/2006/relationships/hyperlink" Target="https://normativ.kontur.ru/document?moduleid=9&amp;documentid=450207#l510" TargetMode="External"/><Relationship Id="rId114" Type="http://schemas.openxmlformats.org/officeDocument/2006/relationships/hyperlink" Target="https://normativ.kontur.ru/document?moduleid=9&amp;documentid=450207#l1450" TargetMode="External"/><Relationship Id="rId60" Type="http://schemas.openxmlformats.org/officeDocument/2006/relationships/hyperlink" Target="https://normativ.kontur.ru/document?moduleid=9&amp;documentid=450207#l467" TargetMode="External"/><Relationship Id="rId81" Type="http://schemas.openxmlformats.org/officeDocument/2006/relationships/hyperlink" Target="https://normativ.kontur.ru/document?moduleid=9&amp;documentid=450207#l1440" TargetMode="External"/><Relationship Id="rId135" Type="http://schemas.openxmlformats.org/officeDocument/2006/relationships/image" Target="media/image65.gif"/><Relationship Id="rId156" Type="http://schemas.openxmlformats.org/officeDocument/2006/relationships/hyperlink" Target="https://normativ.kontur.ru/document?moduleid=1&amp;documentid=455233#l315" TargetMode="External"/><Relationship Id="rId177" Type="http://schemas.openxmlformats.org/officeDocument/2006/relationships/image" Target="media/image99.gif"/><Relationship Id="rId198" Type="http://schemas.openxmlformats.org/officeDocument/2006/relationships/image" Target="media/image120.gif"/><Relationship Id="rId202" Type="http://schemas.openxmlformats.org/officeDocument/2006/relationships/image" Target="media/image124.gif"/><Relationship Id="rId18" Type="http://schemas.openxmlformats.org/officeDocument/2006/relationships/hyperlink" Target="https://normativ.kontur.ru/document?moduleid=1&amp;documentid=444868#l0" TargetMode="External"/><Relationship Id="rId39" Type="http://schemas.openxmlformats.org/officeDocument/2006/relationships/image" Target="media/image3.gif"/><Relationship Id="rId50" Type="http://schemas.openxmlformats.org/officeDocument/2006/relationships/hyperlink" Target="https://normativ.kontur.ru/document?moduleid=9&amp;documentid=450207#l2791" TargetMode="External"/><Relationship Id="rId104" Type="http://schemas.openxmlformats.org/officeDocument/2006/relationships/image" Target="media/image48.gif"/><Relationship Id="rId125" Type="http://schemas.openxmlformats.org/officeDocument/2006/relationships/hyperlink" Target="https://normativ.kontur.ru/document?moduleid=9&amp;documentid=450207#l1474" TargetMode="External"/><Relationship Id="rId146" Type="http://schemas.openxmlformats.org/officeDocument/2006/relationships/image" Target="media/image76.gif"/><Relationship Id="rId167" Type="http://schemas.openxmlformats.org/officeDocument/2006/relationships/image" Target="media/image89.gif"/><Relationship Id="rId188" Type="http://schemas.openxmlformats.org/officeDocument/2006/relationships/image" Target="media/image110.gif"/><Relationship Id="rId71" Type="http://schemas.openxmlformats.org/officeDocument/2006/relationships/image" Target="media/image20.gif"/><Relationship Id="rId92" Type="http://schemas.openxmlformats.org/officeDocument/2006/relationships/image" Target="media/image38.gif"/><Relationship Id="rId213" Type="http://schemas.openxmlformats.org/officeDocument/2006/relationships/hyperlink" Target="https://normativ.kontur.ru/document?moduleid=1&amp;documentid=455233#l0" TargetMode="External"/><Relationship Id="rId2" Type="http://schemas.openxmlformats.org/officeDocument/2006/relationships/settings" Target="settings.xml"/><Relationship Id="rId29" Type="http://schemas.openxmlformats.org/officeDocument/2006/relationships/hyperlink" Target="https://normativ.kontur.ru/document?moduleid=1&amp;documentid=455233#l0" TargetMode="External"/><Relationship Id="rId40" Type="http://schemas.openxmlformats.org/officeDocument/2006/relationships/image" Target="media/image4.gif"/><Relationship Id="rId115" Type="http://schemas.openxmlformats.org/officeDocument/2006/relationships/hyperlink" Target="https://normativ.kontur.ru/document?moduleid=9&amp;documentid=450207#l1452" TargetMode="External"/><Relationship Id="rId136" Type="http://schemas.openxmlformats.org/officeDocument/2006/relationships/image" Target="media/image66.gif"/><Relationship Id="rId157" Type="http://schemas.openxmlformats.org/officeDocument/2006/relationships/hyperlink" Target="https://normativ.kontur.ru/document?moduleid=1&amp;documentid=455233#l10" TargetMode="External"/><Relationship Id="rId178" Type="http://schemas.openxmlformats.org/officeDocument/2006/relationships/image" Target="media/image100.gif"/><Relationship Id="rId61" Type="http://schemas.openxmlformats.org/officeDocument/2006/relationships/hyperlink" Target="https://normativ.kontur.ru/document?moduleid=9&amp;documentid=450207#l957" TargetMode="External"/><Relationship Id="rId82" Type="http://schemas.openxmlformats.org/officeDocument/2006/relationships/hyperlink" Target="https://normativ.kontur.ru/document?moduleid=9&amp;documentid=450207#l1445" TargetMode="External"/><Relationship Id="rId199" Type="http://schemas.openxmlformats.org/officeDocument/2006/relationships/image" Target="media/image121.gif"/><Relationship Id="rId203" Type="http://schemas.openxmlformats.org/officeDocument/2006/relationships/image" Target="media/image125.gif"/><Relationship Id="rId19" Type="http://schemas.openxmlformats.org/officeDocument/2006/relationships/hyperlink" Target="https://normativ.kontur.ru/document?moduleid=1&amp;documentid=455233#l41" TargetMode="External"/><Relationship Id="rId30" Type="http://schemas.openxmlformats.org/officeDocument/2006/relationships/hyperlink" Target="https://normativ.kontur.ru/document?moduleid=1&amp;documentid=455233#l46" TargetMode="External"/><Relationship Id="rId105" Type="http://schemas.openxmlformats.org/officeDocument/2006/relationships/image" Target="media/image49.gif"/><Relationship Id="rId126" Type="http://schemas.openxmlformats.org/officeDocument/2006/relationships/hyperlink" Target="https://normativ.kontur.ru/document?moduleid=9&amp;documentid=450207#l1488" TargetMode="External"/><Relationship Id="rId147" Type="http://schemas.openxmlformats.org/officeDocument/2006/relationships/image" Target="media/image77.gif"/><Relationship Id="rId168" Type="http://schemas.openxmlformats.org/officeDocument/2006/relationships/image" Target="media/image9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70</Pages>
  <Words>22994</Words>
  <Characters>131067</Characters>
  <Application>Microsoft Office Word</Application>
  <DocSecurity>0</DocSecurity>
  <Lines>1092</Lines>
  <Paragraphs>307</Paragraphs>
  <ScaleCrop>false</ScaleCrop>
  <Company/>
  <LinksUpToDate>false</LinksUpToDate>
  <CharactersWithSpaces>153754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2025-03-01T04:50:00Z</dcterms:created>
  <dcterms:modified xsi:type="dcterms:W3CDTF">2025-03-01T04:51:00Z</dcterms:modified>
</cp:coreProperties>
</file>