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6F318" w14:textId="77777777" w:rsidR="00F86C1C" w:rsidRPr="002977B2" w:rsidRDefault="00F86C1C" w:rsidP="00F86C1C">
      <w:pPr>
        <w:pStyle w:val="a3"/>
        <w:spacing w:line="360" w:lineRule="auto"/>
        <w:contextualSpacing/>
        <w:jc w:val="center"/>
        <w:rPr>
          <w:sz w:val="28"/>
          <w:szCs w:val="28"/>
        </w:rPr>
      </w:pPr>
      <w:r w:rsidRPr="002977B2">
        <w:rPr>
          <w:sz w:val="28"/>
          <w:szCs w:val="28"/>
        </w:rPr>
        <w:t xml:space="preserve">Министерство цифрового развития, связи и </w:t>
      </w:r>
      <w:r w:rsidRPr="002977B2">
        <w:rPr>
          <w:sz w:val="28"/>
          <w:szCs w:val="28"/>
        </w:rPr>
        <w:br/>
        <w:t>массовых коммуникаций Российской Федерации</w:t>
      </w:r>
    </w:p>
    <w:p w14:paraId="1C28BC8F" w14:textId="77777777" w:rsidR="00F86C1C" w:rsidRPr="002977B2" w:rsidRDefault="00F86C1C" w:rsidP="00F86C1C">
      <w:pPr>
        <w:contextualSpacing/>
        <w:jc w:val="center"/>
        <w:rPr>
          <w:rFonts w:ascii="Times New Roman" w:hAnsi="Times New Roman" w:cs="Times New Roman"/>
          <w:sz w:val="28"/>
          <w:szCs w:val="28"/>
          <w:lang w:val="x-none" w:eastAsia="x-none"/>
        </w:rPr>
      </w:pPr>
      <w:r w:rsidRPr="002977B2">
        <w:rPr>
          <w:rFonts w:ascii="Times New Roman" w:hAnsi="Times New Roman" w:cs="Times New Roman"/>
          <w:bCs/>
          <w:sz w:val="28"/>
          <w:szCs w:val="28"/>
        </w:rPr>
        <w:t>Сибирский государственный университет телекоммуникаций и информатики</w:t>
      </w:r>
    </w:p>
    <w:p w14:paraId="61D66F72" w14:textId="77777777" w:rsidR="00F86C1C" w:rsidRPr="002977B2" w:rsidRDefault="00F86C1C" w:rsidP="00F86C1C">
      <w:pPr>
        <w:contextualSpacing/>
        <w:jc w:val="center"/>
        <w:rPr>
          <w:rFonts w:ascii="Times New Roman" w:hAnsi="Times New Roman" w:cs="Times New Roman"/>
          <w:b/>
          <w:sz w:val="28"/>
          <w:szCs w:val="28"/>
        </w:rPr>
      </w:pPr>
      <w:r w:rsidRPr="002977B2">
        <w:rPr>
          <w:rFonts w:ascii="Times New Roman" w:hAnsi="Times New Roman" w:cs="Times New Roman"/>
          <w:sz w:val="28"/>
          <w:szCs w:val="28"/>
          <w:lang w:val="x-none" w:eastAsia="x-none"/>
        </w:rPr>
        <w:t>(</w:t>
      </w:r>
      <w:proofErr w:type="spellStart"/>
      <w:r w:rsidRPr="002977B2">
        <w:rPr>
          <w:rFonts w:ascii="Times New Roman" w:hAnsi="Times New Roman" w:cs="Times New Roman"/>
          <w:sz w:val="28"/>
          <w:szCs w:val="28"/>
          <w:lang w:val="x-none" w:eastAsia="x-none"/>
        </w:rPr>
        <w:t>СибГУТИ</w:t>
      </w:r>
      <w:proofErr w:type="spellEnd"/>
      <w:r w:rsidRPr="002977B2">
        <w:rPr>
          <w:rFonts w:ascii="Times New Roman" w:hAnsi="Times New Roman" w:cs="Times New Roman"/>
          <w:sz w:val="28"/>
          <w:szCs w:val="28"/>
          <w:lang w:val="x-none" w:eastAsia="x-none"/>
        </w:rPr>
        <w:t>)</w:t>
      </w:r>
    </w:p>
    <w:p w14:paraId="7A7E5CC6" w14:textId="77777777" w:rsidR="00F86C1C" w:rsidRPr="002977B2" w:rsidRDefault="00F86C1C" w:rsidP="00F86C1C">
      <w:pPr>
        <w:contextualSpacing/>
        <w:jc w:val="center"/>
        <w:rPr>
          <w:rFonts w:ascii="Times New Roman" w:hAnsi="Times New Roman" w:cs="Times New Roman"/>
          <w:b/>
          <w:sz w:val="28"/>
          <w:szCs w:val="28"/>
        </w:rPr>
      </w:pPr>
    </w:p>
    <w:p w14:paraId="5CBA1B81" w14:textId="77777777" w:rsidR="00F86C1C" w:rsidRPr="002977B2" w:rsidRDefault="00F86C1C" w:rsidP="00F86C1C">
      <w:pPr>
        <w:contextualSpacing/>
        <w:jc w:val="center"/>
        <w:rPr>
          <w:rFonts w:ascii="Times New Roman" w:hAnsi="Times New Roman" w:cs="Times New Roman"/>
          <w:b/>
          <w:sz w:val="28"/>
          <w:szCs w:val="28"/>
        </w:rPr>
      </w:pPr>
    </w:p>
    <w:p w14:paraId="6ABDFC34" w14:textId="77777777" w:rsidR="00F86C1C" w:rsidRPr="002977B2" w:rsidRDefault="00F86C1C" w:rsidP="00F86C1C">
      <w:pPr>
        <w:contextualSpacing/>
        <w:jc w:val="center"/>
        <w:rPr>
          <w:rFonts w:ascii="Times New Roman" w:hAnsi="Times New Roman" w:cs="Times New Roman"/>
          <w:b/>
          <w:sz w:val="28"/>
          <w:szCs w:val="28"/>
        </w:rPr>
      </w:pPr>
    </w:p>
    <w:p w14:paraId="158136A7" w14:textId="77777777" w:rsidR="00F86C1C" w:rsidRPr="002977B2" w:rsidRDefault="00F86C1C" w:rsidP="00F86C1C">
      <w:pPr>
        <w:contextualSpacing/>
        <w:jc w:val="center"/>
        <w:rPr>
          <w:rFonts w:ascii="Times New Roman" w:hAnsi="Times New Roman" w:cs="Times New Roman"/>
          <w:b/>
          <w:sz w:val="28"/>
          <w:szCs w:val="28"/>
        </w:rPr>
      </w:pPr>
    </w:p>
    <w:p w14:paraId="191A5D64" w14:textId="77777777" w:rsidR="00F86C1C" w:rsidRPr="002977B2" w:rsidRDefault="00F86C1C" w:rsidP="00F86C1C">
      <w:pPr>
        <w:contextualSpacing/>
        <w:jc w:val="center"/>
        <w:rPr>
          <w:rFonts w:ascii="Times New Roman" w:hAnsi="Times New Roman" w:cs="Times New Roman"/>
          <w:b/>
          <w:sz w:val="28"/>
          <w:szCs w:val="28"/>
        </w:rPr>
      </w:pPr>
    </w:p>
    <w:p w14:paraId="237D8C10" w14:textId="77777777" w:rsidR="00F86C1C" w:rsidRPr="002977B2" w:rsidRDefault="00F86C1C" w:rsidP="00F86C1C">
      <w:pPr>
        <w:contextualSpacing/>
        <w:jc w:val="center"/>
        <w:rPr>
          <w:rFonts w:ascii="Times New Roman" w:hAnsi="Times New Roman" w:cs="Times New Roman"/>
          <w:b/>
          <w:sz w:val="28"/>
          <w:szCs w:val="28"/>
        </w:rPr>
      </w:pPr>
    </w:p>
    <w:p w14:paraId="22730746" w14:textId="11E58D24" w:rsidR="00F86C1C" w:rsidRPr="002977B2" w:rsidRDefault="00F8106A" w:rsidP="00F86C1C">
      <w:pPr>
        <w:contextualSpacing/>
        <w:jc w:val="center"/>
        <w:rPr>
          <w:rFonts w:ascii="Times New Roman" w:hAnsi="Times New Roman" w:cs="Times New Roman"/>
          <w:b/>
          <w:sz w:val="28"/>
          <w:szCs w:val="28"/>
        </w:rPr>
      </w:pPr>
      <w:r>
        <w:rPr>
          <w:rFonts w:ascii="Helvetica Neue" w:hAnsi="Helvetica Neue"/>
          <w:color w:val="333333"/>
          <w:sz w:val="21"/>
          <w:szCs w:val="21"/>
          <w:shd w:val="clear" w:color="auto" w:fill="FFFFFF"/>
        </w:rPr>
        <w:t>работа представляет собой поверхностный пересказ событий без анализа причин, движущих сил и альтернативных центров объединения; объем недостаточен для раскрытия темы. Требуется более глубокая аргументация роли Ивана Калиты, Дмитрия Донского и Ивана III с опорой на историографию и конкретные факты. Вопрос 2: Изложение ограничивается перечислением указов без оценки их последствий, причин непопулярности императора и причин переворота; аргументация подменяется общими формулировками. Необходимо показать связь реформ с последующей политикой Екатерины II и раскрыть противоречия между заявленными мерами и их восприятием обществом.</w:t>
      </w:r>
    </w:p>
    <w:p w14:paraId="31EACA85" w14:textId="77777777" w:rsidR="00F86C1C" w:rsidRPr="002977B2" w:rsidRDefault="00F86C1C" w:rsidP="00F86C1C">
      <w:pPr>
        <w:contextualSpacing/>
        <w:jc w:val="center"/>
        <w:rPr>
          <w:rFonts w:ascii="Times New Roman" w:hAnsi="Times New Roman" w:cs="Times New Roman"/>
          <w:b/>
          <w:sz w:val="28"/>
          <w:szCs w:val="28"/>
        </w:rPr>
      </w:pPr>
    </w:p>
    <w:p w14:paraId="17680BBD" w14:textId="77777777" w:rsidR="00F86C1C" w:rsidRPr="002977B2" w:rsidRDefault="00F86C1C" w:rsidP="00F86C1C">
      <w:pPr>
        <w:contextualSpacing/>
        <w:jc w:val="center"/>
        <w:rPr>
          <w:rFonts w:ascii="Times New Roman" w:hAnsi="Times New Roman" w:cs="Times New Roman"/>
          <w:b/>
          <w:sz w:val="28"/>
          <w:szCs w:val="28"/>
        </w:rPr>
      </w:pPr>
    </w:p>
    <w:p w14:paraId="0D9706B6" w14:textId="77777777" w:rsidR="00F86C1C" w:rsidRPr="002977B2" w:rsidRDefault="00F86C1C" w:rsidP="00F86C1C">
      <w:pPr>
        <w:contextualSpacing/>
        <w:jc w:val="center"/>
        <w:rPr>
          <w:rFonts w:ascii="Times New Roman" w:hAnsi="Times New Roman" w:cs="Times New Roman"/>
          <w:b/>
          <w:sz w:val="28"/>
          <w:szCs w:val="28"/>
        </w:rPr>
      </w:pPr>
    </w:p>
    <w:p w14:paraId="75E93EAB" w14:textId="505B9D61" w:rsidR="00F86C1C" w:rsidRPr="002977B2" w:rsidRDefault="00F86C1C" w:rsidP="00F86C1C">
      <w:pPr>
        <w:pStyle w:val="1"/>
        <w:contextualSpacing/>
        <w:jc w:val="center"/>
        <w:rPr>
          <w:sz w:val="28"/>
          <w:szCs w:val="28"/>
        </w:rPr>
      </w:pPr>
      <w:r>
        <w:rPr>
          <w:sz w:val="28"/>
          <w:szCs w:val="28"/>
        </w:rPr>
        <w:t>Зачетная работа</w:t>
      </w:r>
    </w:p>
    <w:p w14:paraId="10161C10" w14:textId="77777777" w:rsidR="00F86C1C" w:rsidRPr="002977B2" w:rsidRDefault="00F86C1C" w:rsidP="00F86C1C">
      <w:pPr>
        <w:pStyle w:val="1"/>
        <w:contextualSpacing/>
        <w:jc w:val="center"/>
        <w:rPr>
          <w:sz w:val="28"/>
          <w:szCs w:val="28"/>
        </w:rPr>
      </w:pPr>
    </w:p>
    <w:p w14:paraId="3B3F418B" w14:textId="77777777" w:rsidR="00F86C1C" w:rsidRPr="002977B2" w:rsidRDefault="00F86C1C" w:rsidP="00F86C1C">
      <w:pPr>
        <w:pStyle w:val="1"/>
        <w:contextualSpacing/>
        <w:jc w:val="center"/>
        <w:rPr>
          <w:sz w:val="28"/>
          <w:szCs w:val="28"/>
        </w:rPr>
      </w:pPr>
      <w:r w:rsidRPr="002977B2">
        <w:rPr>
          <w:sz w:val="28"/>
          <w:szCs w:val="28"/>
        </w:rPr>
        <w:t>По дисциплине: История России (часть-1)</w:t>
      </w:r>
    </w:p>
    <w:p w14:paraId="04C24006" w14:textId="77777777" w:rsidR="00F86C1C" w:rsidRPr="002977B2" w:rsidRDefault="00F86C1C" w:rsidP="00F86C1C">
      <w:pPr>
        <w:contextualSpacing/>
        <w:jc w:val="center"/>
        <w:rPr>
          <w:rFonts w:ascii="Times New Roman" w:hAnsi="Times New Roman" w:cs="Times New Roman"/>
          <w:sz w:val="28"/>
          <w:szCs w:val="28"/>
        </w:rPr>
      </w:pPr>
    </w:p>
    <w:p w14:paraId="5BA1BBE8" w14:textId="77777777" w:rsidR="00F86C1C" w:rsidRPr="002977B2" w:rsidRDefault="00F86C1C" w:rsidP="00F86C1C">
      <w:pPr>
        <w:contextualSpacing/>
        <w:jc w:val="center"/>
        <w:rPr>
          <w:rFonts w:ascii="Times New Roman" w:hAnsi="Times New Roman" w:cs="Times New Roman"/>
          <w:b/>
          <w:sz w:val="28"/>
          <w:szCs w:val="28"/>
        </w:rPr>
      </w:pPr>
    </w:p>
    <w:p w14:paraId="66B295A9" w14:textId="77777777" w:rsidR="00F86C1C" w:rsidRPr="002977B2" w:rsidRDefault="00F86C1C" w:rsidP="00F86C1C">
      <w:pPr>
        <w:contextualSpacing/>
        <w:jc w:val="center"/>
        <w:rPr>
          <w:rFonts w:ascii="Times New Roman" w:hAnsi="Times New Roman" w:cs="Times New Roman"/>
          <w:b/>
          <w:sz w:val="28"/>
          <w:szCs w:val="28"/>
        </w:rPr>
      </w:pPr>
    </w:p>
    <w:p w14:paraId="6C246130" w14:textId="77777777" w:rsidR="00F86C1C" w:rsidRPr="002977B2" w:rsidRDefault="00F86C1C" w:rsidP="00F86C1C">
      <w:pPr>
        <w:contextualSpacing/>
        <w:jc w:val="center"/>
        <w:rPr>
          <w:rFonts w:ascii="Times New Roman" w:hAnsi="Times New Roman" w:cs="Times New Roman"/>
          <w:b/>
          <w:sz w:val="28"/>
          <w:szCs w:val="28"/>
        </w:rPr>
      </w:pPr>
    </w:p>
    <w:p w14:paraId="4AB164C0" w14:textId="77777777" w:rsidR="00F86C1C" w:rsidRPr="002977B2" w:rsidRDefault="00F86C1C" w:rsidP="00F86C1C">
      <w:pPr>
        <w:tabs>
          <w:tab w:val="left" w:pos="5103"/>
          <w:tab w:val="left" w:pos="8080"/>
        </w:tabs>
        <w:ind w:firstLine="5670"/>
        <w:rPr>
          <w:rFonts w:ascii="Times New Roman" w:hAnsi="Times New Roman" w:cs="Times New Roman"/>
          <w:b/>
          <w:sz w:val="28"/>
          <w:szCs w:val="28"/>
        </w:rPr>
      </w:pPr>
      <w:r w:rsidRPr="002977B2">
        <w:rPr>
          <w:rFonts w:ascii="Times New Roman" w:hAnsi="Times New Roman" w:cs="Times New Roman"/>
          <w:b/>
          <w:sz w:val="28"/>
          <w:szCs w:val="28"/>
        </w:rPr>
        <w:t xml:space="preserve">Выполнил: </w:t>
      </w:r>
      <w:r w:rsidRPr="002977B2">
        <w:rPr>
          <w:rFonts w:ascii="Times New Roman" w:hAnsi="Times New Roman" w:cs="Times New Roman"/>
          <w:sz w:val="28"/>
          <w:szCs w:val="28"/>
        </w:rPr>
        <w:t>Дмитриев И.В.</w:t>
      </w:r>
    </w:p>
    <w:p w14:paraId="1272EC66" w14:textId="77777777" w:rsidR="00F86C1C" w:rsidRPr="002977B2" w:rsidRDefault="00F86C1C" w:rsidP="00F86C1C">
      <w:pPr>
        <w:tabs>
          <w:tab w:val="left" w:pos="5103"/>
          <w:tab w:val="left" w:pos="8080"/>
        </w:tabs>
        <w:ind w:firstLine="5670"/>
        <w:rPr>
          <w:rFonts w:ascii="Times New Roman" w:hAnsi="Times New Roman" w:cs="Times New Roman"/>
          <w:b/>
          <w:sz w:val="28"/>
          <w:szCs w:val="28"/>
        </w:rPr>
      </w:pPr>
      <w:r w:rsidRPr="002977B2">
        <w:rPr>
          <w:rFonts w:ascii="Times New Roman" w:hAnsi="Times New Roman" w:cs="Times New Roman"/>
          <w:b/>
          <w:sz w:val="28"/>
          <w:szCs w:val="28"/>
        </w:rPr>
        <w:t xml:space="preserve">Группа: </w:t>
      </w:r>
      <w:r w:rsidRPr="002977B2">
        <w:rPr>
          <w:rFonts w:ascii="Times New Roman" w:hAnsi="Times New Roman" w:cs="Times New Roman"/>
          <w:bCs/>
          <w:sz w:val="28"/>
          <w:szCs w:val="28"/>
        </w:rPr>
        <w:t>ДМТ-61</w:t>
      </w:r>
    </w:p>
    <w:p w14:paraId="5DE3C5F1" w14:textId="77777777" w:rsidR="00F86C1C" w:rsidRPr="002977B2" w:rsidRDefault="00F86C1C" w:rsidP="00F86C1C">
      <w:pPr>
        <w:ind w:firstLine="5670"/>
        <w:contextualSpacing/>
        <w:rPr>
          <w:rFonts w:ascii="Times New Roman" w:hAnsi="Times New Roman" w:cs="Times New Roman"/>
          <w:sz w:val="28"/>
          <w:szCs w:val="28"/>
        </w:rPr>
      </w:pPr>
      <w:r w:rsidRPr="002977B2">
        <w:rPr>
          <w:rFonts w:ascii="Times New Roman" w:hAnsi="Times New Roman" w:cs="Times New Roman"/>
          <w:b/>
          <w:sz w:val="28"/>
          <w:szCs w:val="28"/>
        </w:rPr>
        <w:t xml:space="preserve">     </w:t>
      </w:r>
    </w:p>
    <w:p w14:paraId="062D93EF" w14:textId="77777777" w:rsidR="00F86C1C" w:rsidRPr="002977B2" w:rsidRDefault="00F86C1C" w:rsidP="00F86C1C">
      <w:pPr>
        <w:ind w:firstLine="5670"/>
        <w:contextualSpacing/>
        <w:jc w:val="center"/>
        <w:rPr>
          <w:rFonts w:ascii="Times New Roman" w:hAnsi="Times New Roman" w:cs="Times New Roman"/>
          <w:sz w:val="28"/>
          <w:szCs w:val="28"/>
        </w:rPr>
      </w:pPr>
    </w:p>
    <w:p w14:paraId="1D90E216" w14:textId="77777777" w:rsidR="00F86C1C" w:rsidRPr="002977B2" w:rsidRDefault="00F86C1C" w:rsidP="00F86C1C">
      <w:pPr>
        <w:ind w:firstLine="5670"/>
        <w:contextualSpacing/>
        <w:jc w:val="center"/>
        <w:rPr>
          <w:rFonts w:ascii="Times New Roman" w:hAnsi="Times New Roman" w:cs="Times New Roman"/>
          <w:sz w:val="28"/>
          <w:szCs w:val="28"/>
        </w:rPr>
      </w:pPr>
    </w:p>
    <w:p w14:paraId="5A3E2A8D" w14:textId="77777777" w:rsidR="00F86C1C" w:rsidRPr="002977B2" w:rsidRDefault="00F86C1C" w:rsidP="00F86C1C">
      <w:pPr>
        <w:ind w:firstLine="5670"/>
        <w:contextualSpacing/>
        <w:rPr>
          <w:rFonts w:ascii="Times New Roman" w:hAnsi="Times New Roman" w:cs="Times New Roman"/>
          <w:sz w:val="28"/>
          <w:szCs w:val="28"/>
        </w:rPr>
      </w:pPr>
      <w:r w:rsidRPr="002977B2">
        <w:rPr>
          <w:rFonts w:ascii="Times New Roman" w:hAnsi="Times New Roman" w:cs="Times New Roman"/>
          <w:b/>
          <w:sz w:val="28"/>
          <w:szCs w:val="28"/>
        </w:rPr>
        <w:t>Проверил</w:t>
      </w:r>
      <w:r w:rsidRPr="002977B2">
        <w:rPr>
          <w:rFonts w:ascii="Times New Roman" w:hAnsi="Times New Roman" w:cs="Times New Roman"/>
          <w:sz w:val="28"/>
          <w:szCs w:val="28"/>
        </w:rPr>
        <w:t>: Вишневский С.О.</w:t>
      </w:r>
    </w:p>
    <w:p w14:paraId="3239EBD8" w14:textId="77777777" w:rsidR="00F86C1C" w:rsidRDefault="00F86C1C" w:rsidP="00F8106A">
      <w:pPr>
        <w:contextualSpacing/>
        <w:rPr>
          <w:rFonts w:ascii="Times New Roman" w:hAnsi="Times New Roman" w:cs="Times New Roman"/>
          <w:sz w:val="28"/>
          <w:szCs w:val="28"/>
        </w:rPr>
      </w:pPr>
    </w:p>
    <w:p w14:paraId="372AAABE" w14:textId="77777777" w:rsidR="00F86C1C" w:rsidRPr="002977B2" w:rsidRDefault="00F86C1C" w:rsidP="00F86C1C">
      <w:pPr>
        <w:ind w:firstLine="3686"/>
        <w:contextualSpacing/>
        <w:jc w:val="center"/>
        <w:rPr>
          <w:rFonts w:ascii="Times New Roman" w:hAnsi="Times New Roman" w:cs="Times New Roman"/>
          <w:sz w:val="28"/>
          <w:szCs w:val="28"/>
        </w:rPr>
      </w:pPr>
    </w:p>
    <w:p w14:paraId="46313FC4" w14:textId="77777777" w:rsidR="00F86C1C" w:rsidRPr="002977B2" w:rsidRDefault="00F86C1C" w:rsidP="00F86C1C">
      <w:pPr>
        <w:ind w:firstLine="3686"/>
        <w:contextualSpacing/>
        <w:jc w:val="center"/>
        <w:rPr>
          <w:rFonts w:ascii="Times New Roman" w:hAnsi="Times New Roman" w:cs="Times New Roman"/>
          <w:sz w:val="28"/>
          <w:szCs w:val="28"/>
        </w:rPr>
      </w:pPr>
    </w:p>
    <w:p w14:paraId="6A68282E" w14:textId="77777777" w:rsidR="00F86C1C" w:rsidRPr="002977B2" w:rsidRDefault="00F86C1C" w:rsidP="00F86C1C">
      <w:pPr>
        <w:contextualSpacing/>
        <w:rPr>
          <w:rFonts w:ascii="Times New Roman" w:hAnsi="Times New Roman" w:cs="Times New Roman"/>
          <w:sz w:val="28"/>
          <w:szCs w:val="28"/>
        </w:rPr>
      </w:pPr>
    </w:p>
    <w:p w14:paraId="38DA4EB8" w14:textId="77777777" w:rsidR="00F86C1C" w:rsidRPr="002977B2" w:rsidRDefault="00F86C1C" w:rsidP="00F86C1C">
      <w:pPr>
        <w:contextualSpacing/>
        <w:rPr>
          <w:rFonts w:ascii="Times New Roman" w:hAnsi="Times New Roman" w:cs="Times New Roman"/>
          <w:sz w:val="28"/>
          <w:szCs w:val="28"/>
        </w:rPr>
      </w:pPr>
    </w:p>
    <w:p w14:paraId="22AA41CB" w14:textId="43855141" w:rsidR="00F86C1C" w:rsidRPr="00F86C1C" w:rsidRDefault="00F86C1C" w:rsidP="00F86C1C">
      <w:pPr>
        <w:jc w:val="center"/>
        <w:rPr>
          <w:rFonts w:ascii="Times New Roman" w:hAnsi="Times New Roman" w:cs="Times New Roman"/>
          <w:b/>
          <w:bCs/>
          <w:sz w:val="28"/>
          <w:szCs w:val="28"/>
        </w:rPr>
      </w:pPr>
      <w:r w:rsidRPr="002977B2">
        <w:rPr>
          <w:rFonts w:ascii="Times New Roman" w:hAnsi="Times New Roman" w:cs="Times New Roman"/>
          <w:sz w:val="28"/>
          <w:szCs w:val="28"/>
        </w:rPr>
        <w:t>Новосибирск, 2026 г.</w:t>
      </w:r>
    </w:p>
    <w:p w14:paraId="2B6821E0" w14:textId="77777777" w:rsidR="00F86C1C" w:rsidRPr="00F86C1C" w:rsidRDefault="00F86C1C" w:rsidP="00F86C1C">
      <w:pPr>
        <w:pStyle w:val="3"/>
        <w:jc w:val="center"/>
        <w:rPr>
          <w:rFonts w:ascii="Times New Roman" w:hAnsi="Times New Roman" w:cs="Times New Roman"/>
          <w:b/>
          <w:bCs/>
          <w:color w:val="000000" w:themeColor="text1"/>
          <w:sz w:val="28"/>
          <w:szCs w:val="28"/>
        </w:rPr>
      </w:pPr>
      <w:r w:rsidRPr="00F86C1C">
        <w:rPr>
          <w:rStyle w:val="s1"/>
          <w:rFonts w:ascii="Times New Roman" w:hAnsi="Times New Roman" w:cs="Times New Roman"/>
          <w:b/>
          <w:bCs/>
          <w:color w:val="000000" w:themeColor="text1"/>
          <w:sz w:val="28"/>
          <w:szCs w:val="28"/>
        </w:rPr>
        <w:lastRenderedPageBreak/>
        <w:t>1. Объединение русских земель вокруг Москвы</w:t>
      </w:r>
    </w:p>
    <w:p w14:paraId="54E84E83"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Объединение русских земель вокруг Москвы происходило в XIII–XV веках. После монгольского нашествия в XIII веке русские земли находились в зависимости от Золотой Орды и были разделены на отдельные княжества. Между князьями часто возникали конфликты за власть и территории. Постепенно Москва стала главным центром объединения русских земель.</w:t>
      </w:r>
    </w:p>
    <w:p w14:paraId="6F18E402"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Одной из причин возвышения Москвы было её выгодное географическое положение. Она находилась на пересечении торговых путей, что способствовало развитию торговли и экономики. Кроме того, московские князья проводили грамотную политику, расширяли свои владения и укрепляли отношения с Золотой Ордой.</w:t>
      </w:r>
    </w:p>
    <w:p w14:paraId="28F01A90"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Большую роль в усилении Москвы сыграл князь Иван Калита, который правил в первой половине XIV века. Он сумел укрепить экономическое положение княжества, расширить его территорию и получить право собирать дань с русских земель для Золотой Орды. Благодаря этому Москва стала богаче и влиятельнее других княжеств. Также важную роль в возвышении Москвы сыграла Русская православная церковь, поскольку её центр постепенно переместился в Москву.</w:t>
      </w:r>
    </w:p>
    <w:p w14:paraId="1E37C721"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При князе Дмитрии Донском усилилась военная мощь Московского княжества. В 1380 году русское войско под его руководством одержало победу над войсками Золотой Орды в Куликовской битве. Эта победа имела большое значение, поскольку укрепила авторитет Москвы и показала возможность сопротивления монгольскому господству. Однако зависимость от Орды после этого полностью не прекратилась.</w:t>
      </w:r>
    </w:p>
    <w:p w14:paraId="5CDEF509"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Наиболее активно объединение русских земель происходило при Иване III, который правил с 1462 по 1505 год. При нём к Москве были присоединены Новгород и Тверь, а также ряд других территорий. Иван III укрепил центральную власть и начал формировать единое Русское государство. В 1480 году произошло стояние на реке Угре, после которого зависимость Руси от Золотой Орды фактически прекратилась.</w:t>
      </w:r>
    </w:p>
    <w:p w14:paraId="706B2F03"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Важным событием стало также принятие Судебника 1497 года, который способствовал укреплению единого законодательства и власти великого князя. При Иване III появились новые государственные символы, а Москва стала политическим центром объединённых русских земель.</w:t>
      </w:r>
    </w:p>
    <w:p w14:paraId="5AF770A3"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Таким образом, объединение русских земель вокруг Москвы привело к образованию единого Русского государства, укреплению центральной власти и освобождению от зависимости Золотой Орды. Этот процесс создал основу для дальнейшего развития и усиления России.</w:t>
      </w:r>
    </w:p>
    <w:p w14:paraId="61A9024B" w14:textId="77777777" w:rsidR="00F86C1C" w:rsidRPr="00F86C1C" w:rsidRDefault="00F86C1C" w:rsidP="00F86C1C">
      <w:pPr>
        <w:pStyle w:val="3"/>
        <w:jc w:val="center"/>
        <w:rPr>
          <w:rFonts w:ascii="Times New Roman" w:hAnsi="Times New Roman" w:cs="Times New Roman"/>
          <w:b/>
          <w:bCs/>
          <w:color w:val="000000" w:themeColor="text1"/>
          <w:sz w:val="28"/>
          <w:szCs w:val="28"/>
        </w:rPr>
      </w:pPr>
      <w:r w:rsidRPr="00F86C1C">
        <w:rPr>
          <w:rStyle w:val="s1"/>
          <w:rFonts w:ascii="Times New Roman" w:hAnsi="Times New Roman" w:cs="Times New Roman"/>
          <w:b/>
          <w:bCs/>
          <w:color w:val="000000" w:themeColor="text1"/>
          <w:sz w:val="28"/>
          <w:szCs w:val="28"/>
        </w:rPr>
        <w:lastRenderedPageBreak/>
        <w:t>2. Пётр III — результаты его кратковременного правления в сфере внутренней политики</w:t>
      </w:r>
    </w:p>
    <w:p w14:paraId="2BC9D25C"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Пётр III правил Российской империей с декабря 1761 года по июнь 1762 года. Его правление продолжалось около шести месяцев, но за это время он успел издать ряд важных указов, которые повлияли на внутреннюю политику страны. Главной особенностью его деятельности было стремление изменить положение дворянства, государственное управление и отношения между церковью и государством.</w:t>
      </w:r>
    </w:p>
    <w:p w14:paraId="7897E876"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Одним из важнейших решений Петра III стал Манифест о вольности дворянства, изданный 18 февраля 1762 года. Согласно этому документу, дворяне освобождались от обязательной государственной и военной службы. Ранее представители дворянского сословия должны были служить государству, поэтому новый указ предоставлял им больше свободы в выборе своего жизненного пути. Дворяне могли самостоятельно решать, продолжать ли службу или заниматься своими имениями и личными делами. Этот манифест укрепил положение дворянства и стал важным этапом в развитии сословных привилегий в России.</w:t>
      </w:r>
    </w:p>
    <w:p w14:paraId="76BDFD49"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Другим значимым направлением внутренней политики стала секуляризация церковных земель. Пётр III издал указ о передаче церковных владений под управление государства. Предполагалось, что доходы от этих земель будут поступать в государственную казну, а содержание духовенства будет осуществляться за счёт государства. Эта мера должна была уменьшить экономическую самостоятельность церкви и усилить контроль государства над её имуществом. Однако проведение реформы вызвало недовольство части духовенства.</w:t>
      </w:r>
    </w:p>
    <w:p w14:paraId="71AAD479"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Пётр III также стремился изменить деятельность государственных учреждений и сократить некоторые ограничения, существовавшие при предыдущем правлении. Он выступал за упрощение управления и пытался изменить порядок принятия отдельных государственных решений. При этом его действия не всегда находили поддержку среди представителей высших слоёв общества, поскольку реформы затрагивали интересы влиятельных групп.</w:t>
      </w:r>
    </w:p>
    <w:p w14:paraId="41A62902"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Важным решением императора стало прекращение преследования старообрядцев и предоставление им возможности исповедовать свою веру. Это отражало стремление ослабить религиозные ограничения и уменьшить вмешательство государства в некоторые стороны жизни населения. Однако многие его преобразования не успели получить широкого развития из-за короткого срока правления.</w:t>
      </w:r>
    </w:p>
    <w:p w14:paraId="1E7FFFBB"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lastRenderedPageBreak/>
        <w:t>В то же время внутренняя политика Петра III вызывала недовольство среди части дворянства, гвардии и духовенства. Причинами были как отдельные реформы, так и его общее направление политики. Император не смог заручиться устойчивой поддержкой влиятельных кругов общества. В июне 1762 года произошёл дворцовый переворот, в результате которого Пётр III был свергнут, а власть перешла к его жене Екатерине II.</w:t>
      </w:r>
    </w:p>
    <w:p w14:paraId="2F825FC8"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Несмотря на кратковременность правления, деятельность Петра III имела определённое значение для развития Российской империи. Манифест о вольности дворянства расширил права дворянского сословия, а секуляризация церковных земель стала важным шагом в усилении государственного контроля над церковной собственностью. Некоторые его решения были продолжены или получили дальнейшее развитие при Екатерине II.</w:t>
      </w:r>
    </w:p>
    <w:p w14:paraId="37A153FF" w14:textId="77777777" w:rsidR="00F86C1C" w:rsidRPr="00F86C1C" w:rsidRDefault="00F86C1C" w:rsidP="00F86C1C">
      <w:pPr>
        <w:pStyle w:val="p2"/>
        <w:jc w:val="both"/>
        <w:rPr>
          <w:color w:val="000000" w:themeColor="text1"/>
          <w:sz w:val="28"/>
          <w:szCs w:val="28"/>
        </w:rPr>
      </w:pPr>
      <w:r w:rsidRPr="00F86C1C">
        <w:rPr>
          <w:color w:val="000000" w:themeColor="text1"/>
          <w:sz w:val="28"/>
          <w:szCs w:val="28"/>
        </w:rPr>
        <w:t>Таким образом, внутренняя политика Петра III была направлена на проведение преобразований в государственном управлении, изменение положения дворянства и ограничение экономической самостоятельности церкви. Хотя он не успел полностью реализовать свои планы, его указы оказали влияние на дальнейшее развитие России во второй половине XVIII века.</w:t>
      </w:r>
    </w:p>
    <w:p w14:paraId="4909681F" w14:textId="77777777" w:rsidR="00F86C1C" w:rsidRPr="00F86C1C" w:rsidRDefault="00F86C1C" w:rsidP="00F86C1C">
      <w:pPr>
        <w:jc w:val="both"/>
        <w:rPr>
          <w:rFonts w:ascii="Times New Roman" w:hAnsi="Times New Roman" w:cs="Times New Roman"/>
          <w:color w:val="000000" w:themeColor="text1"/>
          <w:sz w:val="28"/>
          <w:szCs w:val="28"/>
          <w:lang w:val="ru-KZ"/>
        </w:rPr>
      </w:pPr>
    </w:p>
    <w:p w14:paraId="2F11F3E3" w14:textId="77777777" w:rsidR="00D352AA" w:rsidRPr="00F86C1C" w:rsidRDefault="00D352AA" w:rsidP="00F86C1C">
      <w:pPr>
        <w:jc w:val="both"/>
        <w:rPr>
          <w:rFonts w:ascii="Times New Roman" w:hAnsi="Times New Roman" w:cs="Times New Roman"/>
          <w:color w:val="000000" w:themeColor="text1"/>
          <w:sz w:val="28"/>
          <w:szCs w:val="28"/>
        </w:rPr>
      </w:pPr>
    </w:p>
    <w:sectPr w:rsidR="00D352AA" w:rsidRPr="00F86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E84"/>
    <w:rsid w:val="001608D9"/>
    <w:rsid w:val="007609F9"/>
    <w:rsid w:val="00CC4680"/>
    <w:rsid w:val="00D16E84"/>
    <w:rsid w:val="00D352AA"/>
    <w:rsid w:val="00F8106A"/>
    <w:rsid w:val="00F86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BDB8C"/>
  <w15:chartTrackingRefBased/>
  <w15:docId w15:val="{03396205-54F2-43C4-95BD-FE78B85F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08D9"/>
  </w:style>
  <w:style w:type="paragraph" w:styleId="1">
    <w:name w:val="heading 1"/>
    <w:basedOn w:val="a"/>
    <w:link w:val="10"/>
    <w:uiPriority w:val="9"/>
    <w:qFormat/>
    <w:rsid w:val="00F86C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F86C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6C1C"/>
    <w:rPr>
      <w:rFonts w:ascii="Times New Roman" w:eastAsia="Times New Roman" w:hAnsi="Times New Roman" w:cs="Times New Roman"/>
      <w:b/>
      <w:bCs/>
      <w:kern w:val="36"/>
      <w:sz w:val="48"/>
      <w:szCs w:val="48"/>
      <w:lang w:eastAsia="ru-RU"/>
    </w:rPr>
  </w:style>
  <w:style w:type="paragraph" w:styleId="a3">
    <w:name w:val="Body Text"/>
    <w:basedOn w:val="a"/>
    <w:link w:val="a4"/>
    <w:semiHidden/>
    <w:rsid w:val="00F86C1C"/>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semiHidden/>
    <w:rsid w:val="00F86C1C"/>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86C1C"/>
    <w:rPr>
      <w:rFonts w:asciiTheme="majorHAnsi" w:eastAsiaTheme="majorEastAsia" w:hAnsiTheme="majorHAnsi" w:cstheme="majorBidi"/>
      <w:color w:val="1F4D78" w:themeColor="accent1" w:themeShade="7F"/>
      <w:sz w:val="24"/>
      <w:szCs w:val="24"/>
    </w:rPr>
  </w:style>
  <w:style w:type="character" w:customStyle="1" w:styleId="s1">
    <w:name w:val="s1"/>
    <w:basedOn w:val="a0"/>
    <w:rsid w:val="00F86C1C"/>
  </w:style>
  <w:style w:type="paragraph" w:customStyle="1" w:styleId="p2">
    <w:name w:val="p2"/>
    <w:basedOn w:val="a"/>
    <w:rsid w:val="00F86C1C"/>
    <w:pPr>
      <w:spacing w:before="100" w:beforeAutospacing="1" w:after="100" w:afterAutospacing="1" w:line="240" w:lineRule="auto"/>
    </w:pPr>
    <w:rPr>
      <w:rFonts w:ascii="Times New Roman" w:eastAsia="Times New Roman" w:hAnsi="Times New Roman" w:cs="Times New Roman"/>
      <w:sz w:val="24"/>
      <w:szCs w:val="24"/>
      <w:lang w:val="ru-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1019</Words>
  <Characters>5813</Characters>
  <Application>Microsoft Office Word</Application>
  <DocSecurity>0</DocSecurity>
  <Lines>48</Lines>
  <Paragraphs>13</Paragraphs>
  <ScaleCrop>false</ScaleCrop>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Давыдова Анна Викторовна</dc:creator>
  <cp:keywords/>
  <dc:description/>
  <cp:lastModifiedBy>User</cp:lastModifiedBy>
  <cp:revision>4</cp:revision>
  <dcterms:created xsi:type="dcterms:W3CDTF">2023-10-04T09:57:00Z</dcterms:created>
  <dcterms:modified xsi:type="dcterms:W3CDTF">2026-10-22T10:09:00Z</dcterms:modified>
</cp:coreProperties>
</file>